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4259" w:rsidRDefault="002B731B">
      <w:pPr>
        <w:pStyle w:val="Proposal"/>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sidR="00935411">
        <w:rPr>
          <w:rFonts w:ascii="Arial" w:hAnsi="Arial" w:cs="Arial" w:hint="eastAsia"/>
          <w:sz w:val="22"/>
        </w:rPr>
        <w:t>6b</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w:t>
      </w:r>
      <w:r w:rsidR="006A3186">
        <w:rPr>
          <w:rFonts w:ascii="Arial" w:hAnsi="Arial" w:cs="Arial"/>
          <w:sz w:val="22"/>
        </w:rPr>
        <w:t>2109844</w:t>
      </w:r>
    </w:p>
    <w:p w:rsidR="00A64259" w:rsidRDefault="002B731B">
      <w:pPr>
        <w:pStyle w:val="Proposal"/>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October 11</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A64259" w:rsidRDefault="00A64259">
      <w:pPr>
        <w:pStyle w:val="3GPPHeader"/>
        <w:snapToGrid w:val="0"/>
        <w:rPr>
          <w:rFonts w:cs="Arial"/>
          <w:sz w:val="22"/>
        </w:rPr>
      </w:pPr>
    </w:p>
    <w:p w:rsidR="00A64259" w:rsidRDefault="002B731B">
      <w:pPr>
        <w:pStyle w:val="3GPPHeader"/>
        <w:snapToGrid w:val="0"/>
        <w:rPr>
          <w:rFonts w:cs="Arial"/>
          <w:sz w:val="22"/>
        </w:rPr>
      </w:pPr>
      <w:r>
        <w:rPr>
          <w:rFonts w:cs="Arial"/>
          <w:sz w:val="22"/>
        </w:rPr>
        <w:t>Source:</w:t>
      </w:r>
      <w:r>
        <w:rPr>
          <w:rFonts w:cs="Arial"/>
          <w:sz w:val="22"/>
        </w:rPr>
        <w:tab/>
        <w:t>ZTE</w:t>
      </w:r>
    </w:p>
    <w:p w:rsidR="00A64259" w:rsidRDefault="002B731B">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UL</w:t>
      </w:r>
      <w:r>
        <w:rPr>
          <w:rFonts w:cs="Arial" w:hint="eastAsia"/>
          <w:sz w:val="22"/>
        </w:rPr>
        <w:t xml:space="preserve"> synchronization </w:t>
      </w:r>
      <w:r>
        <w:rPr>
          <w:rFonts w:cs="Arial"/>
          <w:sz w:val="22"/>
        </w:rPr>
        <w:t>for NR</w:t>
      </w:r>
      <w:r>
        <w:rPr>
          <w:rFonts w:cs="Arial" w:hint="eastAsia"/>
          <w:sz w:val="22"/>
        </w:rPr>
        <w:t>-</w:t>
      </w:r>
      <w:r>
        <w:rPr>
          <w:rFonts w:cs="Arial"/>
          <w:sz w:val="22"/>
        </w:rPr>
        <w:t>NTN</w:t>
      </w:r>
    </w:p>
    <w:p w:rsidR="00A64259" w:rsidRDefault="002B731B">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A64259" w:rsidRDefault="002B731B">
      <w:pPr>
        <w:pBdr>
          <w:bottom w:val="single" w:sz="6" w:space="1" w:color="auto"/>
        </w:pBdr>
        <w:snapToGrid w:val="0"/>
        <w:rPr>
          <w:rFonts w:ascii="Arial" w:hAnsi="Arial"/>
          <w:b/>
        </w:rPr>
      </w:pPr>
      <w:r>
        <w:rPr>
          <w:rFonts w:ascii="Arial" w:hAnsi="Arial"/>
          <w:b/>
        </w:rPr>
        <w:t>Document for:  Discussion</w:t>
      </w:r>
      <w:bookmarkEnd w:id="0"/>
      <w:bookmarkEnd w:id="1"/>
    </w:p>
    <w:p w:rsidR="00A64259" w:rsidRDefault="002B731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A64259" w:rsidRDefault="002B731B">
      <w:pPr>
        <w:spacing w:afterLines="50" w:after="120" w:line="240" w:lineRule="auto"/>
        <w:ind w:firstLine="420"/>
        <w:rPr>
          <w:rFonts w:ascii="Times New Roman" w:hAnsi="Times New Roman"/>
          <w:i/>
          <w:iCs/>
          <w:sz w:val="20"/>
          <w:szCs w:val="20"/>
          <w:highlight w:val="yellow"/>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1#106e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UL synchronization for NTN.</w:t>
      </w:r>
    </w:p>
    <w:p w:rsidR="00A64259" w:rsidRDefault="002B731B">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A validity duration configured by the network for satellite ephemeris data indicates the maximum time during which the UE can apply the satellite ephemeris without having acquired new satellite ephemeris.</w:t>
      </w:r>
    </w:p>
    <w:p w:rsidR="00A64259" w:rsidRDefault="002B731B">
      <w:pPr>
        <w:numPr>
          <w:ilvl w:val="1"/>
          <w:numId w:val="8"/>
        </w:numPr>
        <w:rPr>
          <w:rFonts w:ascii="Times New Roman" w:hAnsi="Times New Roman" w:cs="Times New Roman"/>
          <w:sz w:val="20"/>
          <w:szCs w:val="20"/>
        </w:rPr>
      </w:pPr>
      <w:r>
        <w:rPr>
          <w:rFonts w:ascii="Times New Roman" w:hAnsi="Times New Roman" w:cs="Times New Roman"/>
          <w:sz w:val="20"/>
          <w:szCs w:val="20"/>
        </w:rPr>
        <w:t>FFS: Associated UE behavior if the UE does not read the ephemeris within the validity duration.</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FFS: Whether the same validity duration can be applied for Common TA.</w:t>
      </w:r>
    </w:p>
    <w:p w:rsidR="00A64259" w:rsidRDefault="002B731B">
      <w:pPr>
        <w:spacing w:beforeLines="50" w:before="120" w:afterLines="50" w:after="120" w:line="240" w:lineRule="auto"/>
        <w:ind w:leftChars="200" w:left="440"/>
        <w:jc w:val="both"/>
        <w:rPr>
          <w:rFonts w:ascii="Times New Roman" w:hAnsi="Times New Roman"/>
          <w:i/>
          <w:iCs/>
          <w:sz w:val="20"/>
          <w:szCs w:val="20"/>
          <w:u w:val="single"/>
        </w:rPr>
      </w:pPr>
      <w:r>
        <w:rPr>
          <w:rFonts w:ascii="Times New Roman" w:hAnsi="Times New Roman"/>
          <w:i/>
          <w:iCs/>
          <w:sz w:val="20"/>
          <w:szCs w:val="20"/>
          <w:u w:val="single"/>
        </w:rPr>
        <w:t>Conclusion:</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Indication of common post-compensation frequency offset for Uplink is not needed.</w:t>
      </w:r>
    </w:p>
    <w:p w:rsidR="00A64259" w:rsidRDefault="002B731B">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Confirm the working assumption on non-extension of TAC 12-bit field in msg2 (or msgB) and that the UE follows the requirements on UL time pre-compensation for Msg1/MsgA transmission as defined by RAN4.</w:t>
      </w:r>
    </w:p>
    <w:p w:rsidR="00A64259" w:rsidRDefault="002B731B">
      <w:pPr>
        <w:spacing w:beforeLines="50" w:before="120" w:afterLines="50" w:after="12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Serving satellite ephemeris Epoch time is implicitly known as a reference time defined by the starting time of a DL slot and/or frame.</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FFS: Whether this starting time is given by predefined rule or it is indicated by the Network</w:t>
      </w:r>
    </w:p>
    <w:p w:rsidR="00A64259" w:rsidRDefault="002B731B">
      <w:pPr>
        <w:spacing w:beforeLines="50" w:before="120" w:afterLines="50" w:after="120" w:line="240" w:lineRule="auto"/>
        <w:ind w:leftChars="200" w:left="440"/>
        <w:jc w:val="both"/>
        <w:rPr>
          <w:rFonts w:ascii="Times New Roman" w:hAnsi="Times New Roman"/>
          <w:i/>
          <w:iCs/>
          <w:sz w:val="20"/>
          <w:szCs w:val="20"/>
          <w:highlight w:val="green"/>
          <w:lang w:eastAsia="ko-KR"/>
        </w:rPr>
      </w:pPr>
      <w:r>
        <w:rPr>
          <w:rFonts w:ascii="Times New Roman" w:hAnsi="Times New Roman"/>
          <w:i/>
          <w:iCs/>
          <w:sz w:val="20"/>
          <w:szCs w:val="20"/>
          <w:highlight w:val="green"/>
          <w:lang w:eastAsia="ko-KR"/>
        </w:rPr>
        <w:t>Agreement:</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In NTN, to avoid that the UE over pre-compensates its TA during RACH procedure, down-select one option from below:</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Option 1: PRACH transmission is delayed by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75131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18.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23033D">
        <w:rPr>
          <w:rFonts w:ascii="Times New Roman" w:hAnsi="Times New Roman"/>
          <w:i/>
          <w:iCs/>
          <w:sz w:val="20"/>
          <w:szCs w:val="20"/>
        </w:rPr>
        <w:pict w14:anchorId="1B03B185">
          <v:shape id="_x0000_i1026" type="#_x0000_t75" style="width:56.5pt;height:18.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i/>
          <w:iCs/>
          <w:sz w:val="20"/>
          <w:szCs w:val="20"/>
        </w:rPr>
        <w:fldChar w:fldCharType="end"/>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Option 2: TA margin can be considered, and it is explicitly indicated to the UE</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Option 3: TA margin can be considered, and it is included within the Common TA</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Option 4: UE handles it via implementation</w:t>
      </w:r>
    </w:p>
    <w:p w:rsidR="00A64259" w:rsidRDefault="002B731B">
      <w:pPr>
        <w:spacing w:beforeLines="50" w:before="120" w:afterLines="50" w:after="120" w:line="240" w:lineRule="auto"/>
        <w:ind w:leftChars="200" w:left="440"/>
        <w:jc w:val="both"/>
        <w:rPr>
          <w:rFonts w:ascii="Times New Roman" w:hAnsi="Times New Roman"/>
          <w:i/>
          <w:iCs/>
          <w:sz w:val="20"/>
          <w:szCs w:val="20"/>
          <w:highlight w:val="green"/>
          <w:lang w:eastAsia="ko-KR"/>
        </w:rPr>
      </w:pPr>
      <w:r>
        <w:rPr>
          <w:rFonts w:ascii="Times New Roman" w:hAnsi="Times New Roman"/>
          <w:i/>
          <w:iCs/>
          <w:sz w:val="20"/>
          <w:szCs w:val="20"/>
          <w:highlight w:val="green"/>
          <w:lang w:eastAsia="ko-KR"/>
        </w:rPr>
        <w:t>Agreement:</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lang w:eastAsia="ko-KR"/>
        </w:rPr>
        <w:t>In NR NTN</w:t>
      </w:r>
      <w:r>
        <w:rPr>
          <w:rFonts w:ascii="Times New Roman" w:hAnsi="Times New Roman"/>
          <w:i/>
          <w:iCs/>
          <w:sz w:val="20"/>
          <w:szCs w:val="20"/>
        </w:rPr>
        <w:t>, NTA update based on TA Command field in msg2/msgB and MAC CE TA command is used for UL timing alignment correction as follows:</w:t>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When TAC </w:t>
      </w:r>
      <w:r>
        <w:rPr>
          <w:rFonts w:ascii="Times New Roman" w:hAnsi="Times New Roman"/>
          <w:sz w:val="20"/>
          <w:szCs w:val="20"/>
        </w:rPr>
        <w:t>(</w:t>
      </w:r>
      <w:r>
        <w:rPr>
          <w:rFonts w:ascii="Times New Roman" w:hAnsi="Times New Roman"/>
          <w:position w:val="-10"/>
          <w:sz w:val="20"/>
          <w:szCs w:val="20"/>
        </w:rPr>
        <w:object w:dxaOrig="321" w:dyaOrig="343" w14:anchorId="1031D689">
          <v:shape id="_x0000_i1027" type="#_x0000_t75" style="width:16.05pt;height:17.15pt" o:ole="">
            <v:imagedata r:id="rId10" o:title=""/>
          </v:shape>
          <o:OLEObject Type="Embed" ProgID="Equation.KSEE3" ShapeID="_x0000_i1027" DrawAspect="Content" ObjectID="_1694606327" r:id="rId11"/>
        </w:object>
      </w:r>
      <w:r>
        <w:rPr>
          <w:rFonts w:ascii="Times New Roman" w:hAnsi="Times New Roman" w:hint="eastAsia"/>
          <w:sz w:val="20"/>
          <w:szCs w:val="20"/>
        </w:rPr>
        <w:t>)</w:t>
      </w:r>
      <w:r>
        <w:rPr>
          <w:rFonts w:ascii="Times New Roman" w:hAnsi="Times New Roman"/>
          <w:i/>
          <w:iCs/>
          <w:sz w:val="20"/>
          <w:szCs w:val="20"/>
        </w:rPr>
        <w:t xml:space="preserve"> in msg2/msgB is received, UE receives the first adjustment and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6D220691">
          <v:shape id="_x0000_i1028"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Pr>
          <w:rFonts w:ascii="Times New Roman" w:hAnsi="Times New Roman"/>
          <w:i/>
          <w:iCs/>
          <w:position w:val="-10"/>
          <w:sz w:val="20"/>
          <w:szCs w:val="20"/>
        </w:rPr>
        <w:object w:dxaOrig="465" w:dyaOrig="343" w14:anchorId="6DBBDDF1">
          <v:shape id="_x0000_i1029" type="#_x0000_t75" style="width:23.25pt;height:17.15pt" o:ole="">
            <v:imagedata r:id="rId13" o:title=""/>
          </v:shape>
          <o:OLEObject Type="Embed" ProgID="Equation.KSEE3" ShapeID="_x0000_i1029" DrawAspect="Content" ObjectID="_1694606328" r:id="rId14"/>
        </w:object>
      </w:r>
      <w:r>
        <w:rPr>
          <w:rFonts w:ascii="Times New Roman" w:hAnsi="Times New Roman"/>
          <w:i/>
          <w:iCs/>
          <w:sz w:val="20"/>
          <w:szCs w:val="20"/>
        </w:rPr>
        <w:fldChar w:fldCharType="end"/>
      </w:r>
      <w:r>
        <w:rPr>
          <w:rFonts w:ascii="Times New Roman" w:hAnsi="Times New Roman"/>
          <w:i/>
          <w:iCs/>
          <w:sz w:val="20"/>
          <w:szCs w:val="20"/>
        </w:rPr>
        <w:t xml:space="preserve"> is updated as follows:</w:t>
      </w:r>
    </w:p>
    <w:p w:rsidR="00A64259" w:rsidRDefault="002B731B">
      <w:pPr>
        <w:numPr>
          <w:ilvl w:val="7"/>
          <w:numId w:val="0"/>
        </w:num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4E3F6E52">
          <v:shape id="_x0000_i1030" type="#_x0000_t75" style="width:111.9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rrrrm:a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935411">
        <w:rPr>
          <w:rFonts w:ascii="Times New Roman" w:hAnsi="Times New Roman"/>
          <w:i/>
          <w:iCs/>
          <w:sz w:val="20"/>
          <w:szCs w:val="20"/>
        </w:rPr>
        <w:pict w14:anchorId="31AC3B89">
          <v:shape id="_x0000_i1031" type="#_x0000_t75" style="width:111.9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sSup&gt;&lt;/m:den&gt;&lt;/m:f&gt;&lt;rrrrm:a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hAnsi="Times New Roman"/>
          <w:i/>
          <w:iCs/>
          <w:sz w:val="20"/>
          <w:szCs w:val="20"/>
        </w:rPr>
        <w:fldChar w:fldCharType="end"/>
      </w:r>
      <w:r>
        <w:rPr>
          <w:rFonts w:ascii="Times New Roman" w:hAnsi="Times New Roman"/>
          <w:i/>
          <w:iCs/>
          <w:sz w:val="20"/>
          <w:szCs w:val="20"/>
        </w:rPr>
        <w:t xml:space="preserve"> , FFS: the value of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2AAF032C">
          <v:shape id="_x0000_i1032" type="#_x0000_t75" style="width:29.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935411">
        <w:rPr>
          <w:rFonts w:ascii="Times New Roman" w:hAnsi="Times New Roman"/>
          <w:i/>
          <w:iCs/>
          <w:sz w:val="20"/>
          <w:szCs w:val="20"/>
        </w:rPr>
        <w:pict w14:anchorId="598B4FD4">
          <v:shape id="_x0000_i1033" type="#_x0000_t75" style="width:29.9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hAnsi="Times New Roman"/>
          <w:i/>
          <w:iCs/>
          <w:sz w:val="20"/>
          <w:szCs w:val="20"/>
        </w:rPr>
        <w:fldChar w:fldCharType="end"/>
      </w:r>
      <w:r>
        <w:rPr>
          <w:rFonts w:ascii="Times New Roman" w:hAnsi="Times New Roman"/>
          <w:i/>
          <w:iCs/>
          <w:sz w:val="20"/>
          <w:szCs w:val="20"/>
        </w:rPr>
        <w:t>,</w:t>
      </w:r>
      <w:r>
        <w:rPr>
          <w:rFonts w:ascii="Times New Roman" w:hAnsi="Times New Roman" w:hint="eastAsia"/>
          <w:i/>
          <w:iCs/>
          <w:sz w:val="20"/>
          <w:szCs w:val="20"/>
        </w:rPr>
        <w:t xml:space="preserve"> </w:t>
      </w:r>
    </w:p>
    <w:p w:rsidR="00A64259" w:rsidRDefault="002B731B">
      <w:pPr>
        <w:numPr>
          <w:ilvl w:val="7"/>
          <w:numId w:val="0"/>
        </w:numPr>
        <w:spacing w:beforeLines="50" w:before="120" w:afterLines="50" w:after="120" w:line="240" w:lineRule="auto"/>
        <w:ind w:leftChars="400" w:left="880"/>
        <w:jc w:val="both"/>
        <w:rPr>
          <w:rFonts w:ascii="Times New Roman" w:hAnsi="Times New Roman"/>
          <w:i/>
          <w:iCs/>
          <w:sz w:val="20"/>
          <w:szCs w:val="20"/>
        </w:rPr>
      </w:pPr>
      <w:r>
        <w:rPr>
          <w:noProof/>
        </w:rPr>
        <w:drawing>
          <wp:inline distT="0" distB="0" distL="114300" distR="114300">
            <wp:extent cx="2390775" cy="152400"/>
            <wp:effectExtent l="0" t="0" r="9525" b="0"/>
            <wp:docPr id="2"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4"/>
                    <pic:cNvPicPr>
                      <a:picLocks noChangeAspect="1"/>
                    </pic:cNvPicPr>
                  </pic:nvPicPr>
                  <pic:blipFill>
                    <a:blip r:embed="rId17"/>
                    <a:stretch>
                      <a:fillRect/>
                    </a:stretch>
                  </pic:blipFill>
                  <pic:spPr>
                    <a:xfrm>
                      <a:off x="0" y="0"/>
                      <a:ext cx="2390775" cy="152400"/>
                    </a:xfrm>
                    <a:prstGeom prst="rect">
                      <a:avLst/>
                    </a:prstGeom>
                    <a:noFill/>
                    <a:ln>
                      <a:noFill/>
                    </a:ln>
                  </pic:spPr>
                </pic:pic>
              </a:graphicData>
            </a:graphic>
          </wp:inline>
        </w:drawing>
      </w:r>
    </w:p>
    <w:p w:rsidR="00A64259" w:rsidRDefault="002B731B">
      <w:pPr>
        <w:numPr>
          <w:ilvl w:val="0"/>
          <w:numId w:val="7"/>
        </w:numPr>
        <w:spacing w:beforeLines="50" w:before="120" w:afterLines="50" w:after="120" w:line="240" w:lineRule="auto"/>
        <w:jc w:val="both"/>
        <w:rPr>
          <w:rFonts w:ascii="Times New Roman" w:hAnsi="Times New Roman"/>
          <w:i/>
          <w:iCs/>
          <w:sz w:val="20"/>
          <w:szCs w:val="20"/>
        </w:rPr>
      </w:pPr>
      <w:r>
        <w:rPr>
          <w:rFonts w:ascii="Times New Roman" w:hAnsi="Times New Roman"/>
          <w:i/>
          <w:iCs/>
          <w:sz w:val="20"/>
          <w:szCs w:val="20"/>
        </w:rPr>
        <w:t xml:space="preserve">When TACs </w:t>
      </w:r>
      <w:r>
        <w:rPr>
          <w:rFonts w:ascii="Times New Roman" w:hAnsi="Times New Roman"/>
          <w:sz w:val="20"/>
          <w:szCs w:val="20"/>
        </w:rPr>
        <w:t>(</w:t>
      </w:r>
      <w:r>
        <w:rPr>
          <w:rFonts w:ascii="Times New Roman" w:hAnsi="Times New Roman"/>
          <w:position w:val="-10"/>
          <w:sz w:val="20"/>
          <w:szCs w:val="20"/>
        </w:rPr>
        <w:object w:dxaOrig="321" w:dyaOrig="343" w14:anchorId="1EE9FCAA">
          <v:shape id="_x0000_i1034" type="#_x0000_t75" style="width:16.05pt;height:17.15pt" o:ole="">
            <v:imagedata r:id="rId10" o:title=""/>
          </v:shape>
          <o:OLEObject Type="Embed" ProgID="Equation.KSEE3" ShapeID="_x0000_i1034" DrawAspect="Content" ObjectID="_1694606329" r:id="rId18"/>
        </w:object>
      </w:r>
      <w:r>
        <w:rPr>
          <w:rFonts w:ascii="Times New Roman" w:hAnsi="Times New Roman" w:hint="eastAsia"/>
          <w:sz w:val="20"/>
          <w:szCs w:val="20"/>
        </w:rPr>
        <w:t>)</w:t>
      </w:r>
      <w:r>
        <w:rPr>
          <w:rFonts w:ascii="Times New Roman" w:hAnsi="Times New Roman"/>
          <w:i/>
          <w:iCs/>
          <w:sz w:val="20"/>
          <w:szCs w:val="20"/>
        </w:rPr>
        <w:t xml:space="preserve"> provided within the MAC CE is received,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6B3C2CDB">
          <v:shape id="_x0000_i1035"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935411">
        <w:rPr>
          <w:rFonts w:ascii="Times New Roman" w:hAnsi="Times New Roman"/>
          <w:i/>
          <w:iCs/>
          <w:sz w:val="20"/>
          <w:szCs w:val="20"/>
        </w:rPr>
        <w:pict w14:anchorId="51C3005D">
          <v:shape id="_x0000_i1036"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hAnsi="Times New Roman"/>
          <w:i/>
          <w:iCs/>
          <w:sz w:val="20"/>
          <w:szCs w:val="20"/>
        </w:rPr>
        <w:fldChar w:fldCharType="end"/>
      </w:r>
      <w:r>
        <w:rPr>
          <w:rFonts w:ascii="Times New Roman" w:hAnsi="Times New Roman"/>
          <w:i/>
          <w:iCs/>
          <w:sz w:val="20"/>
          <w:szCs w:val="20"/>
        </w:rPr>
        <w:t xml:space="preserve"> is updated as follows:</w:t>
      </w:r>
    </w:p>
    <w:p w:rsidR="00A64259" w:rsidRDefault="002B731B">
      <w:pPr>
        <w:numPr>
          <w:ilvl w:val="7"/>
          <w:numId w:val="0"/>
        </w:num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lastRenderedPageBreak/>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3B34739B">
          <v:shape id="_x0000_i1037" type="#_x0000_t75" style="width:152.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lt;&lt;&lt;&lt;:sx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935411">
        <w:rPr>
          <w:rFonts w:ascii="Times New Roman" w:hAnsi="Times New Roman"/>
          <w:i/>
          <w:iCs/>
          <w:sz w:val="20"/>
          <w:szCs w:val="20"/>
        </w:rPr>
        <w:pict w14:anchorId="16B2FFF2">
          <v:shape id="_x0000_i1038" type="#_x0000_t75" style="width:152.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μ&lt;/m:t&gt;&lt;/m:r&gt;&lt;/m:sup&gt;&lt;/m&lt;&lt;&lt;&lt;:sx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hAnsi="Times New Roman"/>
          <w:i/>
          <w:iCs/>
          <w:sz w:val="20"/>
          <w:szCs w:val="20"/>
        </w:rPr>
        <w:fldChar w:fldCharType="end"/>
      </w:r>
      <w:r>
        <w:rPr>
          <w:rFonts w:ascii="Times New Roman" w:hAnsi="Times New Roman"/>
          <w:i/>
          <w:iCs/>
          <w:sz w:val="20"/>
          <w:szCs w:val="20"/>
        </w:rPr>
        <w:t xml:space="preserve"> ,</w:t>
      </w:r>
      <w:r>
        <w:rPr>
          <w:rFonts w:ascii="Times New Roman" w:hAnsi="Times New Roman" w:hint="eastAsia"/>
          <w:i/>
          <w:iCs/>
          <w:sz w:val="20"/>
          <w:szCs w:val="20"/>
        </w:rPr>
        <w:t xml:space="preserve"> </w:t>
      </w:r>
    </w:p>
    <w:p w:rsidR="00A64259" w:rsidRDefault="002B731B">
      <w:pPr>
        <w:numPr>
          <w:ilvl w:val="7"/>
          <w:numId w:val="0"/>
        </w:numPr>
        <w:spacing w:beforeLines="50" w:before="120" w:afterLines="50" w:after="120" w:line="240" w:lineRule="auto"/>
        <w:ind w:leftChars="400" w:left="880"/>
        <w:jc w:val="both"/>
        <w:rPr>
          <w:rFonts w:ascii="Times New Roman" w:hAnsi="Times New Roman"/>
          <w:i/>
          <w:iCs/>
          <w:sz w:val="20"/>
          <w:szCs w:val="20"/>
        </w:rPr>
      </w:pPr>
      <w:r>
        <w:rPr>
          <w:noProof/>
        </w:rPr>
        <w:drawing>
          <wp:inline distT="0" distB="0" distL="114300" distR="114300">
            <wp:extent cx="3276600" cy="152400"/>
            <wp:effectExtent l="0" t="0" r="0" b="0"/>
            <wp:docPr id="5"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7"/>
                    <pic:cNvPicPr>
                      <a:picLocks noChangeAspect="1"/>
                    </pic:cNvPicPr>
                  </pic:nvPicPr>
                  <pic:blipFill>
                    <a:blip r:embed="rId20"/>
                    <a:stretch>
                      <a:fillRect/>
                    </a:stretch>
                  </pic:blipFill>
                  <pic:spPr>
                    <a:xfrm>
                      <a:off x="0" y="0"/>
                      <a:ext cx="3276600" cy="152400"/>
                    </a:xfrm>
                    <a:prstGeom prst="rect">
                      <a:avLst/>
                    </a:prstGeom>
                    <a:noFill/>
                    <a:ln>
                      <a:noFill/>
                    </a:ln>
                  </pic:spPr>
                </pic:pic>
              </a:graphicData>
            </a:graphic>
          </wp:inline>
        </w:drawing>
      </w:r>
    </w:p>
    <w:p w:rsidR="00A64259" w:rsidRDefault="002B731B">
      <w:pPr>
        <w:spacing w:beforeLines="50" w:before="120" w:afterLines="50" w:after="120" w:line="240" w:lineRule="auto"/>
        <w:ind w:leftChars="200" w:left="440"/>
        <w:jc w:val="both"/>
        <w:rPr>
          <w:rFonts w:ascii="Times New Roman" w:hAnsi="Times New Roman"/>
          <w:i/>
          <w:iCs/>
          <w:sz w:val="20"/>
          <w:szCs w:val="20"/>
          <w:highlight w:val="darkYellow"/>
        </w:rPr>
      </w:pPr>
      <w:bookmarkStart w:id="3" w:name="_Hlk81237118"/>
      <w:r>
        <w:rPr>
          <w:rFonts w:ascii="Times New Roman" w:hAnsi="Times New Roman"/>
          <w:i/>
          <w:iCs/>
          <w:sz w:val="20"/>
          <w:szCs w:val="20"/>
          <w:highlight w:val="darkYellow"/>
        </w:rPr>
        <w:t>Working assumption:</w:t>
      </w:r>
    </w:p>
    <w:p w:rsidR="00A64259" w:rsidRDefault="002B731B">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rPr>
        <w:t>Common TA may include parameter(s) indicating timing drift.</w:t>
      </w:r>
    </w:p>
    <w:p w:rsidR="00A64259" w:rsidRDefault="002B731B">
      <w:pPr>
        <w:numPr>
          <w:ilvl w:val="0"/>
          <w:numId w:val="7"/>
        </w:numPr>
        <w:spacing w:beforeLines="50" w:before="120" w:afterLines="50" w:after="120" w:line="240" w:lineRule="auto"/>
        <w:jc w:val="both"/>
        <w:rPr>
          <w:rFonts w:ascii="Times New Roman" w:hAnsi="Times New Roman"/>
          <w:sz w:val="20"/>
          <w:szCs w:val="20"/>
        </w:rPr>
      </w:pPr>
      <w:r>
        <w:rPr>
          <w:rFonts w:ascii="Times New Roman" w:hAnsi="Times New Roman"/>
          <w:i/>
          <w:iCs/>
          <w:sz w:val="20"/>
          <w:szCs w:val="20"/>
        </w:rPr>
        <w:t>The UE will apply common TA according to the parameters provided by the network (if any). No offset between the common TA according to the parameters provided by the network and the actual feeder link RTT is considered when defining UE UL timing error requirements.</w:t>
      </w:r>
      <w:bookmarkEnd w:id="3"/>
    </w:p>
    <w:p w:rsidR="00A64259" w:rsidRDefault="002B731B">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remaining issues </w:t>
      </w:r>
      <w:r>
        <w:rPr>
          <w:rFonts w:ascii="Times New Roman" w:hAnsi="Times New Roman"/>
          <w:sz w:val="20"/>
          <w:szCs w:val="20"/>
        </w:rPr>
        <w:t xml:space="preserve">for UL synchronization are elaborated with corresponding analysis and simulation results. </w:t>
      </w:r>
    </w:p>
    <w:p w:rsidR="00A64259" w:rsidRDefault="002B731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GoBack"/>
      <w:bookmarkEnd w:id="4"/>
      <w:r>
        <w:rPr>
          <w:rFonts w:eastAsia="黑体" w:cs="Times New Roman" w:hint="eastAsia"/>
          <w:b/>
          <w:bCs/>
          <w:sz w:val="28"/>
          <w:szCs w:val="30"/>
          <w:lang w:val="en-US"/>
        </w:rPr>
        <w:t>UL timing synchronization</w:t>
      </w:r>
    </w:p>
    <w:p w:rsidR="00A64259" w:rsidRDefault="002B731B">
      <w:pPr>
        <w:pStyle w:val="2"/>
        <w:numPr>
          <w:ilvl w:val="1"/>
          <w:numId w:val="9"/>
        </w:numPr>
        <w:rPr>
          <w:rFonts w:ascii="Times New Roman" w:eastAsia="宋体" w:hAnsi="Times New Roman" w:cs="Times New Roman"/>
          <w:sz w:val="20"/>
          <w:szCs w:val="20"/>
          <w:lang w:val="en-US"/>
        </w:rPr>
      </w:pPr>
      <w:bookmarkStart w:id="5" w:name="_Ref27980"/>
      <w:r>
        <w:rPr>
          <w:rFonts w:ascii="Times New Roman" w:eastAsia="宋体" w:hAnsi="Times New Roman" w:cs="Times New Roman"/>
          <w:sz w:val="24"/>
          <w:szCs w:val="24"/>
          <w:lang w:val="en-US"/>
        </w:rPr>
        <w:t>Indication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bookmarkEnd w:id="5"/>
      <w:r>
        <w:rPr>
          <w:rFonts w:ascii="Times New Roman" w:eastAsia="宋体" w:hAnsi="Times New Roman" w:cs="Times New Roman" w:hint="eastAsia"/>
          <w:sz w:val="24"/>
          <w:szCs w:val="24"/>
          <w:lang w:val="en-US"/>
        </w:rPr>
        <w:t xml:space="preserve"> drift rate</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i/>
          <w:strike/>
          <w:sz w:val="20"/>
          <w:szCs w:val="20"/>
        </w:rPr>
      </w:pPr>
      <w:r>
        <w:rPr>
          <w:rFonts w:ascii="Times New Roman" w:eastAsia="宋体" w:hAnsi="Times New Roman" w:cs="Times New Roman" w:hint="eastAsia"/>
          <w:sz w:val="20"/>
          <w:szCs w:val="20"/>
        </w:rPr>
        <w:t xml:space="preserve">In RAN1#106e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as mentioned above, </w:t>
      </w:r>
      <w:r>
        <w:rPr>
          <w:rFonts w:ascii="Times New Roman" w:eastAsia="宋体" w:hAnsi="Times New Roman" w:cs="Times New Roman" w:hint="eastAsia"/>
          <w:sz w:val="20"/>
          <w:szCs w:val="20"/>
        </w:rPr>
        <w:t>a working assumption that common TA may include parameter indicating timing drift rate has</w:t>
      </w:r>
      <w:r>
        <w:rPr>
          <w:rFonts w:ascii="Times New Roman" w:eastAsia="宋体" w:hAnsi="Times New Roman" w:cs="Times New Roman"/>
          <w:sz w:val="20"/>
          <w:szCs w:val="20"/>
        </w:rPr>
        <w:t xml:space="preserve"> been achieved</w:t>
      </w:r>
      <w:r>
        <w:rPr>
          <w:rFonts w:ascii="Times New Roman" w:eastAsia="宋体" w:hAnsi="Times New Roman" w:cs="Times New Roman" w:hint="eastAsia"/>
          <w:sz w:val="20"/>
          <w:szCs w:val="20"/>
        </w:rPr>
        <w:t xml:space="preserve"> with </w:t>
      </w:r>
      <w:r>
        <w:rPr>
          <w:rFonts w:ascii="Times New Roman" w:eastAsia="宋体" w:hAnsi="Times New Roman" w:cs="Times New Roman"/>
          <w:sz w:val="20"/>
          <w:szCs w:val="20"/>
        </w:rPr>
        <w:t xml:space="preserve">corresponding </w:t>
      </w:r>
      <w:r>
        <w:rPr>
          <w:rFonts w:ascii="Times New Roman" w:eastAsia="宋体" w:hAnsi="Times New Roman" w:cs="Times New Roman" w:hint="eastAsia"/>
          <w:sz w:val="20"/>
          <w:szCs w:val="20"/>
        </w:rPr>
        <w:t xml:space="preserve">note. </w:t>
      </w:r>
      <w:r>
        <w:rPr>
          <w:rFonts w:ascii="Times New Roman" w:eastAsia="宋体" w:hAnsi="Times New Roman" w:cs="Times New Roman"/>
          <w:sz w:val="20"/>
          <w:szCs w:val="20"/>
        </w:rPr>
        <w:t>According to this progress,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the flexibility to enable the UE to handle time-variant TA due to the impacts on feedback can be supported to reduce the complexity at gNB side. More specifically, to indicate the timing drift related information, corresponding parameters, e.g., the 1</w:t>
      </w:r>
      <w:r>
        <w:rPr>
          <w:rFonts w:ascii="Times New Roman" w:eastAsia="宋体" w:hAnsi="Times New Roman" w:cs="Times New Roman"/>
          <w:sz w:val="20"/>
          <w:szCs w:val="20"/>
          <w:vertAlign w:val="superscript"/>
        </w:rPr>
        <w:t>st</w:t>
      </w:r>
      <w:r>
        <w:rPr>
          <w:rFonts w:ascii="Times New Roman" w:eastAsia="宋体" w:hAnsi="Times New Roman" w:cs="Times New Roman"/>
          <w:sz w:val="20"/>
          <w:szCs w:val="20"/>
        </w:rPr>
        <w:t xml:space="preserve"> order or 2</w:t>
      </w:r>
      <w:r>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order can be considered along with the signaling on common TA. </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More specifically, d</w:t>
      </w:r>
      <w:r>
        <w:rPr>
          <w:rFonts w:ascii="Times New Roman" w:eastAsia="宋体" w:hAnsi="Times New Roman" w:cs="Times New Roman" w:hint="eastAsia"/>
          <w:sz w:val="20"/>
          <w:szCs w:val="20"/>
        </w:rPr>
        <w:t xml:space="preserve">ue to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nonlinear variation of common TA, </w:t>
      </w:r>
      <w:r>
        <w:rPr>
          <w:rFonts w:ascii="Times New Roman" w:eastAsia="宋体" w:hAnsi="Times New Roman" w:cs="Times New Roman"/>
          <w:sz w:val="20"/>
          <w:szCs w:val="20"/>
        </w:rPr>
        <w:t xml:space="preserve">indication of the </w:t>
      </w:r>
      <w:r>
        <w:rPr>
          <w:rFonts w:ascii="Times New Roman" w:eastAsia="宋体" w:hAnsi="Times New Roman" w:cs="Times New Roman" w:hint="eastAsia"/>
          <w:sz w:val="20"/>
          <w:szCs w:val="20"/>
        </w:rPr>
        <w:t>high</w:t>
      </w:r>
      <w:r>
        <w:rPr>
          <w:rFonts w:ascii="Times New Roman" w:eastAsia="宋体" w:hAnsi="Times New Roman" w:cs="Times New Roman"/>
          <w:sz w:val="20"/>
          <w:szCs w:val="20"/>
        </w:rPr>
        <w:t>er</w:t>
      </w:r>
      <w:r>
        <w:rPr>
          <w:rFonts w:ascii="Times New Roman" w:eastAsia="宋体" w:hAnsi="Times New Roman" w:cs="Times New Roman" w:hint="eastAsia"/>
          <w:sz w:val="20"/>
          <w:szCs w:val="20"/>
        </w:rPr>
        <w:t xml:space="preserve"> order drift rates </w:t>
      </w:r>
      <w:r>
        <w:rPr>
          <w:rFonts w:ascii="Times New Roman" w:eastAsia="宋体" w:hAnsi="Times New Roman" w:cs="Times New Roman"/>
          <w:sz w:val="20"/>
          <w:szCs w:val="20"/>
        </w:rPr>
        <w:t xml:space="preserve">is preferred to mitigate the </w:t>
      </w:r>
      <w:r>
        <w:rPr>
          <w:rFonts w:ascii="Times New Roman" w:eastAsia="宋体" w:hAnsi="Times New Roman" w:cs="Times New Roman" w:hint="eastAsia"/>
          <w:sz w:val="20"/>
          <w:szCs w:val="20"/>
        </w:rPr>
        <w:t>approximation</w:t>
      </w:r>
      <w:r>
        <w:rPr>
          <w:rFonts w:ascii="Times New Roman" w:eastAsia="宋体" w:hAnsi="Times New Roman" w:cs="Times New Roman"/>
          <w:sz w:val="20"/>
          <w:szCs w:val="20"/>
        </w:rPr>
        <w:t xml:space="preserve"> and keep the long valid time for the indicated parameter, which are beneficial for the performance of UL synchronization with better prediction performance at UE side</w:t>
      </w:r>
      <w:r>
        <w:rPr>
          <w:rFonts w:ascii="Times New Roman" w:eastAsia="宋体" w:hAnsi="Times New Roman" w:cs="Times New Roman" w:hint="eastAsia"/>
          <w:sz w:val="20"/>
          <w:szCs w:val="20"/>
        </w:rPr>
        <w:t>. The detailed evaluations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on maximum residual </w:t>
      </w:r>
      <w:r>
        <w:rPr>
          <w:rFonts w:ascii="Times New Roman" w:eastAsia="宋体" w:hAnsi="Times New Roman" w:cs="Times New Roman"/>
          <w:sz w:val="20"/>
          <w:szCs w:val="20"/>
        </w:rPr>
        <w:t>error of common TA autonomously predicted by UE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based</w:t>
      </w:r>
      <w:r>
        <w:rPr>
          <w:rFonts w:ascii="Times New Roman" w:eastAsia="宋体" w:hAnsi="Times New Roman" w:cs="Times New Roman" w:hint="eastAsia"/>
          <w:sz w:val="20"/>
          <w:szCs w:val="20"/>
        </w:rPr>
        <w:t xml:space="preserve"> on common TA parameters generated by</w:t>
      </w:r>
      <w:r>
        <w:rPr>
          <w:rFonts w:ascii="Times New Roman" w:eastAsia="宋体" w:hAnsi="Times New Roman" w:cs="Times New Roman"/>
          <w:sz w:val="20"/>
          <w:szCs w:val="20"/>
        </w:rPr>
        <w:t xml:space="preserve"> least square method</w:t>
      </w:r>
      <w:r>
        <w:rPr>
          <w:rFonts w:ascii="Times New Roman" w:eastAsia="宋体" w:hAnsi="Times New Roman" w:cs="Times New Roman" w:hint="eastAsia"/>
          <w:sz w:val="20"/>
          <w:szCs w:val="20"/>
        </w:rPr>
        <w:t xml:space="preserve"> are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_Ref18781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A64259" w:rsidRDefault="002B731B">
      <w:pPr>
        <w:pStyle w:val="a3"/>
        <w:spacing w:beforeLines="50" w:before="120" w:afterLines="50"/>
        <w:ind w:leftChars="200" w:left="440"/>
        <w:rPr>
          <w:b w:val="0"/>
          <w:lang w:val="en-US"/>
        </w:rPr>
      </w:pPr>
      <w:bookmarkStart w:id="6" w:name="_Ref18781"/>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6"/>
      <w:r>
        <w:rPr>
          <w:rFonts w:hint="eastAsia"/>
          <w:b w:val="0"/>
          <w:lang w:val="en-US"/>
        </w:rPr>
        <w:t xml:space="preserve"> Maximum residual error of common TA autonomously predicted by UE based on common TA and drift rates generated by least square fitting</w:t>
      </w:r>
    </w:p>
    <w:tbl>
      <w:tblPr>
        <w:tblStyle w:val="aa"/>
        <w:tblW w:w="9572" w:type="dxa"/>
        <w:jc w:val="center"/>
        <w:tblLayout w:type="fixed"/>
        <w:tblLook w:val="04A0" w:firstRow="1" w:lastRow="0" w:firstColumn="1" w:lastColumn="0" w:noHBand="0" w:noVBand="1"/>
      </w:tblPr>
      <w:tblGrid>
        <w:gridCol w:w="2372"/>
        <w:gridCol w:w="1199"/>
        <w:gridCol w:w="1200"/>
        <w:gridCol w:w="1200"/>
        <w:gridCol w:w="1200"/>
        <w:gridCol w:w="1200"/>
        <w:gridCol w:w="1201"/>
      </w:tblGrid>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only first order drift rate</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0.4342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1.2068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4.8162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10.7819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19.0289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41.9450 us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first and second order drift rates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0.0013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0.0062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0.0498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0.1679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0.3914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1.3378 us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first, second, and third order drift rates </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0.0015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0.0072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0.0219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0.0984 us</w:t>
            </w:r>
          </w:p>
        </w:tc>
      </w:tr>
    </w:tbl>
    <w:p w:rsidR="00A64259" w:rsidRDefault="002B731B">
      <w:pPr>
        <w:pStyle w:val="ad"/>
        <w:numPr>
          <w:ilvl w:val="255"/>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Furthermore,</w:t>
      </w:r>
      <w:r>
        <w:rPr>
          <w:rFonts w:ascii="Times New Roman" w:eastAsia="宋体" w:hAnsi="Times New Roman" w:cs="Times New Roman" w:hint="eastAsia"/>
          <w:sz w:val="20"/>
          <w:szCs w:val="20"/>
        </w:rPr>
        <w:t xml:space="preserve"> the residual error of UE-estimated common TA can be further reduced by optimizing the </w:t>
      </w:r>
      <w:r>
        <w:rPr>
          <w:rFonts w:ascii="Times New Roman" w:eastAsia="宋体" w:hAnsi="Times New Roman" w:cs="Times New Roman"/>
          <w:sz w:val="20"/>
          <w:szCs w:val="20"/>
        </w:rPr>
        <w:t xml:space="preserve">calculation methodology of </w:t>
      </w:r>
      <w:r>
        <w:rPr>
          <w:rFonts w:ascii="Times New Roman" w:eastAsia="宋体" w:hAnsi="Times New Roman" w:cs="Times New Roman" w:hint="eastAsia"/>
          <w:sz w:val="20"/>
          <w:szCs w:val="20"/>
        </w:rPr>
        <w:t xml:space="preserve">common TA and drift rates. </w:t>
      </w:r>
      <w:r>
        <w:rPr>
          <w:rFonts w:ascii="Times New Roman" w:eastAsia="宋体" w:hAnsi="Times New Roman" w:cs="Times New Roman"/>
          <w:sz w:val="20"/>
          <w:szCs w:val="20"/>
        </w:rPr>
        <w:t>In general, with assumption on the indication order of parameters, t</w:t>
      </w:r>
      <w:r>
        <w:rPr>
          <w:rFonts w:ascii="Times New Roman" w:eastAsia="宋体" w:hAnsi="Times New Roman" w:cs="Times New Roman" w:hint="eastAsia"/>
          <w:sz w:val="20"/>
          <w:szCs w:val="20"/>
        </w:rPr>
        <w:t xml:space="preserve">he </w:t>
      </w:r>
      <w:r>
        <w:rPr>
          <w:rFonts w:ascii="Times New Roman" w:eastAsia="宋体" w:hAnsi="Times New Roman" w:cs="Times New Roman"/>
          <w:sz w:val="20"/>
          <w:szCs w:val="20"/>
        </w:rPr>
        <w:t xml:space="preserve">calculation of </w:t>
      </w:r>
      <w:r>
        <w:rPr>
          <w:rFonts w:ascii="Times New Roman" w:eastAsia="宋体" w:hAnsi="Times New Roman" w:cs="Times New Roman" w:hint="eastAsia"/>
          <w:sz w:val="20"/>
          <w:szCs w:val="20"/>
        </w:rPr>
        <w:t xml:space="preserve">common TA can be </w:t>
      </w:r>
      <w:r>
        <w:rPr>
          <w:rFonts w:ascii="Times New Roman" w:eastAsia="宋体" w:hAnsi="Times New Roman" w:cs="Times New Roman"/>
          <w:sz w:val="20"/>
          <w:szCs w:val="20"/>
        </w:rPr>
        <w:t xml:space="preserve">approximated by </w:t>
      </w:r>
      <w:r>
        <w:rPr>
          <w:rFonts w:ascii="Times New Roman" w:eastAsia="宋体" w:hAnsi="Times New Roman" w:cs="Times New Roman" w:hint="eastAsia"/>
          <w:sz w:val="20"/>
          <w:szCs w:val="20"/>
        </w:rPr>
        <w:t xml:space="preserve">a polynomial </w:t>
      </w:r>
      <w:r>
        <w:rPr>
          <w:rFonts w:ascii="Times New Roman" w:eastAsia="宋体" w:hAnsi="Times New Roman" w:cs="Times New Roman" w:hint="eastAsia"/>
          <w:position w:val="-6"/>
          <w:sz w:val="20"/>
          <w:szCs w:val="20"/>
        </w:rPr>
        <w:object w:dxaOrig="1362" w:dyaOrig="321" w14:anchorId="4E8DCCD5">
          <v:shape id="_x0000_i1039" type="#_x0000_t75" style="width:68.1pt;height:16.05pt" o:ole="">
            <v:imagedata r:id="rId21" o:title=""/>
          </v:shape>
          <o:OLEObject Type="Embed" ProgID="Equation.KSEE3" ShapeID="_x0000_i1039" DrawAspect="Content" ObjectID="_1694606330" r:id="rId22"/>
        </w:object>
      </w:r>
      <w:r>
        <w:rPr>
          <w:rFonts w:ascii="Times New Roman" w:eastAsia="宋体" w:hAnsi="Times New Roman" w:cs="Times New Roman"/>
          <w:sz w:val="20"/>
          <w:szCs w:val="20"/>
        </w:rPr>
        <w:t xml:space="preserve"> to estimate</w:t>
      </w:r>
      <w:r>
        <w:rPr>
          <w:rFonts w:ascii="Times New Roman" w:eastAsia="宋体" w:hAnsi="Times New Roman" w:cs="Times New Roman" w:hint="eastAsia"/>
          <w:sz w:val="20"/>
          <w:szCs w:val="20"/>
        </w:rPr>
        <w:t xml:space="preserve"> the real </w:t>
      </w:r>
      <w:r>
        <w:rPr>
          <w:rFonts w:ascii="Times New Roman" w:eastAsia="宋体" w:hAnsi="Times New Roman" w:cs="Times New Roman"/>
          <w:sz w:val="20"/>
          <w:szCs w:val="20"/>
        </w:rPr>
        <w:t>value at gNB side.</w:t>
      </w:r>
      <w:r>
        <w:rPr>
          <w:rFonts w:ascii="Times New Roman" w:eastAsia="宋体" w:hAnsi="Times New Roman" w:cs="Times New Roman" w:hint="eastAsia"/>
          <w:sz w:val="20"/>
          <w:szCs w:val="20"/>
        </w:rPr>
        <w:t xml:space="preserve"> The </w:t>
      </w:r>
      <w:r>
        <w:rPr>
          <w:rFonts w:ascii="Times New Roman" w:eastAsia="宋体" w:hAnsi="Times New Roman" w:cs="Times New Roman"/>
          <w:sz w:val="20"/>
          <w:szCs w:val="20"/>
        </w:rPr>
        <w:t>determination</w:t>
      </w:r>
      <w:r>
        <w:rPr>
          <w:rFonts w:ascii="Times New Roman" w:eastAsia="宋体" w:hAnsi="Times New Roman" w:cs="Times New Roman" w:hint="eastAsia"/>
          <w:sz w:val="20"/>
          <w:szCs w:val="20"/>
        </w:rPr>
        <w:t xml:space="preserve"> of the three coefficients </w:t>
      </w:r>
      <w:r>
        <w:rPr>
          <w:rFonts w:ascii="Times New Roman" w:eastAsia="宋体" w:hAnsi="Times New Roman" w:cs="Times New Roman" w:hint="eastAsia"/>
          <w:position w:val="-8"/>
          <w:sz w:val="20"/>
          <w:szCs w:val="20"/>
        </w:rPr>
        <w:object w:dxaOrig="598" w:dyaOrig="299" w14:anchorId="1793BC1B">
          <v:shape id="_x0000_i1040" type="#_x0000_t75" style="width:29.9pt;height:14.95pt" o:ole="">
            <v:imagedata r:id="rId23" o:title=""/>
          </v:shape>
          <o:OLEObject Type="Embed" ProgID="Equation.KSEE3" ShapeID="_x0000_i1040" DrawAspect="Content" ObjectID="_1694606331" r:id="rId24"/>
        </w:object>
      </w:r>
      <w:r>
        <w:rPr>
          <w:rFonts w:ascii="Times New Roman" w:eastAsia="宋体" w:hAnsi="Times New Roman" w:cs="Times New Roman" w:hint="eastAsia"/>
          <w:sz w:val="20"/>
          <w:szCs w:val="20"/>
        </w:rPr>
        <w:t xml:space="preserve">is a classical </w:t>
      </w:r>
      <w:r>
        <w:rPr>
          <w:rFonts w:ascii="Times New Roman" w:eastAsia="宋体" w:hAnsi="Times New Roman" w:cs="Times New Roman"/>
          <w:sz w:val="20"/>
          <w:szCs w:val="20"/>
        </w:rPr>
        <w:t>minimax</w:t>
      </w:r>
      <w:r>
        <w:rPr>
          <w:rFonts w:ascii="Times New Roman" w:eastAsia="宋体" w:hAnsi="Times New Roman" w:cs="Times New Roman" w:hint="eastAsia"/>
          <w:sz w:val="20"/>
          <w:szCs w:val="20"/>
        </w:rPr>
        <w:t xml:space="preserve"> problem, which can be numerically optimized. Comparing with the least square method, the error in common TA estimation can be further reduced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_Ref21786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_Ref22492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It should be noticed that </w:t>
      </w:r>
      <w:r>
        <w:rPr>
          <w:rFonts w:ascii="Times New Roman" w:eastAsia="宋体" w:hAnsi="Times New Roman" w:cs="Times New Roman" w:hint="eastAsia"/>
          <w:sz w:val="20"/>
          <w:szCs w:val="20"/>
        </w:rPr>
        <w:t xml:space="preserve">following evaluations are </w:t>
      </w:r>
      <w:r>
        <w:rPr>
          <w:rFonts w:ascii="Times New Roman" w:eastAsia="宋体" w:hAnsi="Times New Roman" w:cs="Times New Roman"/>
          <w:sz w:val="20"/>
          <w:szCs w:val="20"/>
        </w:rPr>
        <w:t xml:space="preserve">conducted </w:t>
      </w:r>
      <w:r>
        <w:rPr>
          <w:rFonts w:ascii="Times New Roman" w:eastAsia="宋体" w:hAnsi="Times New Roman" w:cs="Times New Roman" w:hint="eastAsia"/>
          <w:sz w:val="20"/>
          <w:szCs w:val="20"/>
        </w:rPr>
        <w:t>based on the optimized common TA parameters.</w:t>
      </w:r>
    </w:p>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noProof/>
          <w:sz w:val="20"/>
          <w:szCs w:val="20"/>
        </w:rPr>
        <w:lastRenderedPageBreak/>
        <w:drawing>
          <wp:inline distT="0" distB="0" distL="114300" distR="114300">
            <wp:extent cx="4372610" cy="3279775"/>
            <wp:effectExtent l="0" t="0" r="8890" b="15875"/>
            <wp:docPr id="1" name="图片 1" descr="leastsquareandoptim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astsquareandoptimization"/>
                    <pic:cNvPicPr>
                      <a:picLocks noChangeAspect="1"/>
                    </pic:cNvPicPr>
                  </pic:nvPicPr>
                  <pic:blipFill>
                    <a:blip r:embed="rId25"/>
                    <a:stretch>
                      <a:fillRect/>
                    </a:stretch>
                  </pic:blipFill>
                  <pic:spPr>
                    <a:xfrm>
                      <a:off x="0" y="0"/>
                      <a:ext cx="4372610" cy="3279775"/>
                    </a:xfrm>
                    <a:prstGeom prst="rect">
                      <a:avLst/>
                    </a:prstGeom>
                  </pic:spPr>
                </pic:pic>
              </a:graphicData>
            </a:graphic>
          </wp:inline>
        </w:drawing>
      </w:r>
    </w:p>
    <w:p w:rsidR="00A64259" w:rsidRDefault="002B731B">
      <w:pPr>
        <w:pStyle w:val="a3"/>
        <w:spacing w:beforeLines="50" w:before="120" w:afterLines="50"/>
        <w:ind w:leftChars="200" w:left="440"/>
        <w:rPr>
          <w:lang w:val="en-US"/>
        </w:rPr>
      </w:pPr>
      <w:bookmarkStart w:id="7" w:name="_Ref21786"/>
      <w:r>
        <w:rPr>
          <w:b w:val="0"/>
          <w:bCs w:val="0"/>
          <w:lang w:val="en-US"/>
        </w:rPr>
        <w:t xml:space="preserve">Figure </w:t>
      </w:r>
      <w:r>
        <w:rPr>
          <w:b w:val="0"/>
          <w:bCs w:val="0"/>
          <w:lang w:val="en-US"/>
        </w:rPr>
        <w:fldChar w:fldCharType="begin"/>
      </w:r>
      <w:r>
        <w:rPr>
          <w:b w:val="0"/>
          <w:bCs w:val="0"/>
          <w:lang w:val="en-US"/>
        </w:rPr>
        <w:instrText xml:space="preserve"> SEQ Figure \* ARABIC </w:instrText>
      </w:r>
      <w:r>
        <w:rPr>
          <w:b w:val="0"/>
          <w:bCs w:val="0"/>
          <w:lang w:val="en-US"/>
        </w:rPr>
        <w:fldChar w:fldCharType="separate"/>
      </w:r>
      <w:r>
        <w:rPr>
          <w:b w:val="0"/>
          <w:bCs w:val="0"/>
          <w:lang w:val="en-US"/>
        </w:rPr>
        <w:t>1</w:t>
      </w:r>
      <w:r>
        <w:rPr>
          <w:b w:val="0"/>
          <w:bCs w:val="0"/>
          <w:lang w:val="en-US"/>
        </w:rPr>
        <w:fldChar w:fldCharType="end"/>
      </w:r>
      <w:bookmarkEnd w:id="7"/>
      <w:r>
        <w:rPr>
          <w:rFonts w:hint="eastAsia"/>
          <w:b w:val="0"/>
          <w:bCs w:val="0"/>
          <w:lang w:val="en-US"/>
        </w:rPr>
        <w:t xml:space="preserve"> Performance comparison between least square fitting and numerical optimization</w:t>
      </w:r>
    </w:p>
    <w:p w:rsidR="00A64259" w:rsidRDefault="002B731B">
      <w:pPr>
        <w:pStyle w:val="a3"/>
        <w:spacing w:beforeLines="50" w:before="120" w:afterLines="50"/>
        <w:ind w:leftChars="200" w:left="440"/>
        <w:rPr>
          <w:lang w:val="en-US"/>
        </w:rPr>
      </w:pPr>
      <w:bookmarkStart w:id="8" w:name="_Ref22492"/>
      <w:bookmarkStart w:id="9" w:name="_Ref6798"/>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8"/>
      <w:r>
        <w:rPr>
          <w:rFonts w:hint="eastAsia"/>
          <w:b w:val="0"/>
          <w:lang w:val="en-US"/>
        </w:rPr>
        <w:t xml:space="preserve"> Maximum residual error of common TA autonomously predicted by UE based on optimized common TA and drift rates</w:t>
      </w:r>
      <w:bookmarkEnd w:id="9"/>
    </w:p>
    <w:tbl>
      <w:tblPr>
        <w:tblStyle w:val="aa"/>
        <w:tblW w:w="8992" w:type="dxa"/>
        <w:jc w:val="center"/>
        <w:tblLayout w:type="fixed"/>
        <w:tblLook w:val="04A0" w:firstRow="1" w:lastRow="0" w:firstColumn="1" w:lastColumn="0" w:noHBand="0" w:noVBand="1"/>
      </w:tblPr>
      <w:tblGrid>
        <w:gridCol w:w="2229"/>
        <w:gridCol w:w="1127"/>
        <w:gridCol w:w="1127"/>
        <w:gridCol w:w="1127"/>
        <w:gridCol w:w="1127"/>
        <w:gridCol w:w="1127"/>
        <w:gridCol w:w="1128"/>
      </w:tblGrid>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only first order drift rate</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0.3267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0.9065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3.6086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8.0562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14.1685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30.9435 us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first and second order drift rates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A64259">
        <w:trPr>
          <w:jc w:val="center"/>
        </w:trPr>
        <w:tc>
          <w:tcPr>
            <w:tcW w:w="222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first, second, and third order drift rates </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0.0117 us</w:t>
            </w:r>
          </w:p>
        </w:tc>
        <w:tc>
          <w:tcPr>
            <w:tcW w:w="1128"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0.0513 us</w:t>
            </w:r>
          </w:p>
        </w:tc>
      </w:tr>
    </w:tbl>
    <w:p w:rsidR="00A64259" w:rsidRDefault="002B731B">
      <w:pPr>
        <w:spacing w:beforeLines="50" w:before="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From </w:t>
      </w:r>
      <w:r>
        <w:rPr>
          <w:rFonts w:ascii="Times New Roman" w:eastAsia="宋体" w:hAnsi="Times New Roman" w:cs="Times New Roman" w:hint="eastAsia"/>
          <w:sz w:val="20"/>
          <w:szCs w:val="20"/>
        </w:rPr>
        <w:t xml:space="preserve">evaluation </w:t>
      </w:r>
      <w:r>
        <w:rPr>
          <w:rFonts w:ascii="Times New Roman" w:eastAsia="宋体" w:hAnsi="Times New Roman" w:cs="Times New Roman"/>
          <w:sz w:val="20"/>
          <w:szCs w:val="20"/>
        </w:rPr>
        <w:t>results</w:t>
      </w:r>
      <w:r>
        <w:rPr>
          <w:rFonts w:ascii="Times New Roman" w:eastAsia="宋体" w:hAnsi="Times New Roman" w:cs="Times New Roman" w:hint="eastAsia"/>
          <w:sz w:val="20"/>
          <w:szCs w:val="20"/>
        </w:rPr>
        <w:t xml:space="preserv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_Ref18781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_Ref22492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it can b</w:t>
      </w:r>
      <w:r>
        <w:rPr>
          <w:rFonts w:ascii="Times New Roman" w:eastAsia="宋体" w:hAnsi="Times New Roman" w:cs="Times New Roman"/>
          <w:sz w:val="20"/>
          <w:szCs w:val="20"/>
        </w:rPr>
        <w:t>e observed that the broadcast period can be long</w:t>
      </w:r>
      <w:r>
        <w:rPr>
          <w:rFonts w:ascii="Times New Roman" w:eastAsia="宋体" w:hAnsi="Times New Roman" w:cs="Times New Roman" w:hint="eastAsia"/>
          <w:sz w:val="20"/>
          <w:szCs w:val="20"/>
        </w:rPr>
        <w:t>er with indication of higher order drift rates due to n</w:t>
      </w:r>
      <w:r>
        <w:rPr>
          <w:rFonts w:ascii="Times New Roman" w:eastAsia="宋体" w:hAnsi="Times New Roman" w:cs="Times New Roman"/>
          <w:sz w:val="20"/>
          <w:szCs w:val="20"/>
        </w:rPr>
        <w:t>onlinearity</w:t>
      </w:r>
      <w:r>
        <w:rPr>
          <w:rFonts w:ascii="Times New Roman" w:eastAsia="宋体" w:hAnsi="Times New Roman" w:cs="Times New Roman" w:hint="eastAsia"/>
          <w:sz w:val="20"/>
          <w:szCs w:val="20"/>
        </w:rPr>
        <w:t xml:space="preserve"> of</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common TA variation</w:t>
      </w:r>
      <w:r>
        <w:rPr>
          <w:rFonts w:ascii="Times New Roman" w:eastAsia="宋体" w:hAnsi="Times New Roman" w:cs="Times New Roman"/>
          <w:sz w:val="20"/>
          <w:szCs w:val="20"/>
        </w:rPr>
        <w:t xml:space="preserve"> with high predictability and the accuracy for prediction can be achieved even for the case that the largest SCS is considered for both </w:t>
      </w:r>
      <w:r>
        <w:rPr>
          <w:rFonts w:ascii="Times New Roman" w:eastAsia="宋体" w:hAnsi="Times New Roman" w:cs="Times New Roman" w:hint="eastAsia"/>
          <w:sz w:val="20"/>
          <w:szCs w:val="20"/>
        </w:rPr>
        <w:t>PUSCH</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SSB</w:t>
      </w:r>
      <w:r>
        <w:rPr>
          <w:rFonts w:ascii="Times New Roman" w:eastAsia="宋体" w:hAnsi="Times New Roman" w:cs="Times New Roman"/>
          <w:sz w:val="20"/>
          <w:szCs w:val="20"/>
        </w:rPr>
        <w:t>.</w:t>
      </w:r>
    </w:p>
    <w:p w:rsidR="00A64259" w:rsidRDefault="002B731B">
      <w:pPr>
        <w:ind w:leftChars="200" w:left="440"/>
      </w:pPr>
      <w:r>
        <w:rPr>
          <w:rFonts w:ascii="Times New Roman" w:eastAsia="宋体" w:hAnsi="Times New Roman" w:cs="Times New Roman" w:hint="eastAsia"/>
          <w:sz w:val="20"/>
          <w:szCs w:val="20"/>
        </w:rPr>
        <w:t xml:space="preserve">Another option to handle the nonlinearity of common TA variation is to indicate </w:t>
      </w:r>
      <w:r>
        <w:rPr>
          <w:rFonts w:ascii="Times New Roman" w:eastAsia="宋体" w:hAnsi="Times New Roman" w:cs="Times New Roman"/>
          <w:sz w:val="20"/>
          <w:szCs w:val="20"/>
        </w:rPr>
        <w:t xml:space="preserve">multiple sets of common TA </w:t>
      </w:r>
      <w:r>
        <w:rPr>
          <w:rFonts w:ascii="Times New Roman" w:eastAsia="宋体" w:hAnsi="Times New Roman" w:cs="Times New Roman" w:hint="eastAsia"/>
          <w:sz w:val="20"/>
          <w:szCs w:val="20"/>
        </w:rPr>
        <w:t xml:space="preserve">and </w:t>
      </w:r>
      <w:r>
        <w:rPr>
          <w:rFonts w:ascii="Times New Roman" w:eastAsia="宋体" w:hAnsi="Times New Roman" w:cs="Times New Roman"/>
          <w:sz w:val="20"/>
          <w:szCs w:val="20"/>
        </w:rPr>
        <w:t>drift rate</w:t>
      </w: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with the assumption of</w:t>
      </w:r>
      <w:r>
        <w:rPr>
          <w:rFonts w:ascii="Times New Roman" w:eastAsia="宋体" w:hAnsi="Times New Roman" w:cs="Times New Roman"/>
          <w:sz w:val="20"/>
          <w:szCs w:val="20"/>
        </w:rPr>
        <w:t xml:space="preserve"> different applicable time instant or valid time</w:t>
      </w:r>
      <w:r>
        <w:rPr>
          <w:rFonts w:ascii="Times New Roman" w:eastAsia="宋体" w:hAnsi="Times New Roman" w:cs="Times New Roman" w:hint="eastAsia"/>
          <w:sz w:val="20"/>
          <w:szCs w:val="20"/>
        </w:rPr>
        <w:t>. With more sets of parameters broadcast together</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 broadcast period can be increased by larger times.</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i/>
          <w:sz w:val="20"/>
          <w:szCs w:val="20"/>
        </w:rPr>
        <w:t xml:space="preserve">Confirming the working assumption with supports on the indication of the </w:t>
      </w:r>
      <w:r>
        <w:rPr>
          <w:rFonts w:ascii="Times New Roman" w:eastAsia="宋体" w:hAnsi="Times New Roman"/>
          <w:bCs/>
          <w:i/>
          <w:sz w:val="20"/>
          <w:szCs w:val="20"/>
        </w:rPr>
        <w:t>f</w:t>
      </w:r>
      <w:r>
        <w:rPr>
          <w:rFonts w:ascii="Times New Roman" w:eastAsia="宋体" w:hAnsi="Times New Roman" w:cs="Times New Roman" w:hint="eastAsia"/>
          <w:i/>
          <w:sz w:val="20"/>
          <w:szCs w:val="20"/>
        </w:rPr>
        <w:t xml:space="preserve">irst and second order common TA drift rates </w:t>
      </w:r>
      <w:r>
        <w:rPr>
          <w:rFonts w:ascii="Times New Roman" w:eastAsia="宋体" w:hAnsi="Times New Roman" w:cs="Times New Roman"/>
          <w:i/>
          <w:sz w:val="20"/>
          <w:szCs w:val="20"/>
        </w:rPr>
        <w:t>along with common TA</w:t>
      </w:r>
      <w:r>
        <w:rPr>
          <w:rFonts w:ascii="Times New Roman" w:eastAsia="宋体" w:hAnsi="Times New Roman"/>
          <w:i/>
          <w:sz w:val="20"/>
          <w:szCs w:val="20"/>
        </w:rPr>
        <w:t>.</w:t>
      </w:r>
    </w:p>
    <w:p w:rsidR="00A64259" w:rsidRDefault="002B731B">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Pr>
          <w:rFonts w:ascii="Times New Roman" w:eastAsia="宋体" w:hAnsi="Times New Roman"/>
          <w:i/>
          <w:sz w:val="20"/>
          <w:szCs w:val="20"/>
        </w:rPr>
        <w:t>Following solutions can be considered to further optimize the overhead of signaling:</w:t>
      </w:r>
    </w:p>
    <w:p w:rsidR="00A64259" w:rsidRDefault="002B731B">
      <w:pPr>
        <w:pStyle w:val="ad"/>
        <w:numPr>
          <w:ilvl w:val="0"/>
          <w:numId w:val="10"/>
        </w:numPr>
        <w:spacing w:beforeLines="50" w:before="120" w:after="0" w:line="240" w:lineRule="auto"/>
        <w:ind w:firstLine="400"/>
        <w:jc w:val="both"/>
        <w:rPr>
          <w:rFonts w:ascii="Times New Roman" w:eastAsia="宋体" w:hAnsi="Times New Roman" w:cs="Times New Roman"/>
          <w:i/>
          <w:sz w:val="20"/>
          <w:szCs w:val="20"/>
        </w:rPr>
      </w:pPr>
      <w:r>
        <w:rPr>
          <w:rFonts w:ascii="Times New Roman" w:eastAsia="宋体" w:hAnsi="Times New Roman"/>
          <w:bCs/>
          <w:i/>
          <w:sz w:val="20"/>
          <w:szCs w:val="20"/>
        </w:rPr>
        <w:t xml:space="preserve">Indication of </w:t>
      </w:r>
      <w:r>
        <w:rPr>
          <w:rFonts w:ascii="Times New Roman" w:eastAsia="宋体" w:hAnsi="Times New Roman" w:hint="eastAsia"/>
          <w:bCs/>
          <w:i/>
          <w:sz w:val="20"/>
          <w:szCs w:val="20"/>
        </w:rPr>
        <w:t xml:space="preserve">third </w:t>
      </w:r>
      <w:r>
        <w:rPr>
          <w:rFonts w:ascii="Times New Roman" w:eastAsia="宋体" w:hAnsi="Times New Roman"/>
          <w:bCs/>
          <w:i/>
          <w:sz w:val="20"/>
          <w:szCs w:val="20"/>
        </w:rPr>
        <w:t>order common TA drift rate.</w:t>
      </w:r>
    </w:p>
    <w:p w:rsidR="00A64259" w:rsidRDefault="002B731B">
      <w:pPr>
        <w:pStyle w:val="ad"/>
        <w:numPr>
          <w:ilvl w:val="0"/>
          <w:numId w:val="10"/>
        </w:numPr>
        <w:spacing w:beforeLines="50" w:before="120" w:after="0" w:line="240" w:lineRule="auto"/>
        <w:ind w:firstLine="400"/>
        <w:jc w:val="both"/>
        <w:rPr>
          <w:rFonts w:ascii="Times New Roman" w:eastAsia="宋体" w:hAnsi="Times New Roman" w:cs="Times New Roman"/>
          <w:b/>
          <w:i/>
          <w:sz w:val="20"/>
          <w:szCs w:val="20"/>
        </w:rPr>
      </w:pPr>
      <w:r>
        <w:rPr>
          <w:rFonts w:ascii="Times New Roman" w:eastAsia="宋体" w:hAnsi="Times New Roman"/>
          <w:bCs/>
          <w:i/>
          <w:sz w:val="20"/>
          <w:szCs w:val="20"/>
        </w:rPr>
        <w:t xml:space="preserve">Indication of multiple set of {common TA, </w:t>
      </w:r>
      <w:r>
        <w:rPr>
          <w:rFonts w:ascii="Times New Roman" w:eastAsia="宋体" w:hAnsi="Times New Roman" w:hint="eastAsia"/>
          <w:bCs/>
          <w:i/>
          <w:sz w:val="20"/>
          <w:szCs w:val="20"/>
        </w:rPr>
        <w:t>first order</w:t>
      </w:r>
      <w:r>
        <w:rPr>
          <w:rFonts w:ascii="Times New Roman" w:eastAsia="宋体" w:hAnsi="Times New Roman"/>
          <w:bCs/>
          <w:i/>
          <w:sz w:val="20"/>
          <w:szCs w:val="20"/>
        </w:rPr>
        <w:t xml:space="preserve"> drift rate</w:t>
      </w:r>
      <w:r>
        <w:rPr>
          <w:rFonts w:ascii="Times New Roman" w:eastAsia="宋体" w:hAnsi="Times New Roman" w:hint="eastAsia"/>
          <w:bCs/>
          <w:i/>
          <w:sz w:val="20"/>
          <w:szCs w:val="20"/>
        </w:rPr>
        <w:t>, second order drift rate</w:t>
      </w:r>
      <w:r>
        <w:rPr>
          <w:rFonts w:ascii="Times New Roman" w:eastAsia="宋体" w:hAnsi="Times New Roman"/>
          <w:bCs/>
          <w:i/>
          <w:sz w:val="20"/>
          <w:szCs w:val="20"/>
        </w:rPr>
        <w:t>} with different applicable timing</w:t>
      </w:r>
    </w:p>
    <w:p w:rsidR="00A64259" w:rsidRDefault="002B731B">
      <w:pPr>
        <w:pStyle w:val="2"/>
        <w:numPr>
          <w:ilvl w:val="1"/>
          <w:numId w:val="9"/>
        </w:numPr>
        <w:rPr>
          <w:rFonts w:ascii="Times New Roman" w:eastAsia="宋体" w:hAnsi="Times New Roman" w:cs="Times New Roman"/>
          <w:sz w:val="20"/>
          <w:szCs w:val="20"/>
        </w:rPr>
      </w:pPr>
      <w:r>
        <w:rPr>
          <w:rFonts w:ascii="Times New Roman" w:eastAsia="宋体" w:hAnsi="Times New Roman" w:cs="Times New Roman" w:hint="eastAsia"/>
          <w:sz w:val="24"/>
          <w:szCs w:val="24"/>
          <w:lang w:val="en-US"/>
        </w:rPr>
        <w:lastRenderedPageBreak/>
        <w:t>Signaling and granularity</w:t>
      </w:r>
      <w:r>
        <w:rPr>
          <w:rFonts w:ascii="Times New Roman" w:eastAsia="宋体" w:hAnsi="Times New Roman" w:cs="Times New Roman"/>
          <w:sz w:val="24"/>
          <w:szCs w:val="24"/>
          <w:lang w:val="en-US"/>
        </w:rPr>
        <w:t xml:space="preserve">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r>
        <w:rPr>
          <w:rFonts w:ascii="Times New Roman" w:eastAsia="宋体" w:hAnsi="Times New Roman" w:cs="Times New Roman" w:hint="eastAsia"/>
          <w:sz w:val="24"/>
          <w:szCs w:val="24"/>
          <w:lang w:val="en-US"/>
        </w:rPr>
        <w:t xml:space="preserve"> and common TA drift rate</w:t>
      </w:r>
      <w:r>
        <w:rPr>
          <w:rFonts w:ascii="Times New Roman" w:eastAsia="宋体" w:hAnsi="Times New Roman" w:cs="Times New Roman"/>
          <w:sz w:val="24"/>
          <w:szCs w:val="24"/>
          <w:lang w:val="en-US"/>
        </w:rPr>
        <w:t>s</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With consideration on the simultaneous supports on </w:t>
      </w:r>
      <w:r>
        <w:rPr>
          <w:rFonts w:ascii="Times New Roman" w:eastAsia="宋体" w:hAnsi="Times New Roman" w:cs="Times New Roman" w:hint="eastAsia"/>
          <w:sz w:val="20"/>
          <w:szCs w:val="20"/>
        </w:rPr>
        <w:t>multiple numerologies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granularity of common TA signaling should be set based on the numerology with largest SCS even if different numerologies could have different sensitivity to quantization error. In order to ensure the valid time of common TA is not significantly affected by quantization error, </w:t>
      </w:r>
      <w:r>
        <w:rPr>
          <w:rFonts w:ascii="Times New Roman" w:eastAsia="宋体" w:hAnsi="Times New Roman" w:cs="Times New Roman"/>
          <w:sz w:val="20"/>
          <w:szCs w:val="20"/>
        </w:rPr>
        <w:t xml:space="preserve">as one example, </w:t>
      </w:r>
      <w:r>
        <w:rPr>
          <w:rFonts w:ascii="Times New Roman" w:eastAsia="宋体" w:hAnsi="Times New Roman" w:cs="Times New Roman" w:hint="eastAsia"/>
          <w:sz w:val="20"/>
          <w:szCs w:val="20"/>
        </w:rPr>
        <w:t xml:space="preserve">the quantization error caused by common TA can be assumed to be smaller than 1/10 of tolerance range of common TA. If the tolerance range of common TA is assumed as Te, the quantization error of common TA should be smaller than Te/10, which is </w:t>
      </w:r>
      <w:r>
        <w:rPr>
          <w:rFonts w:ascii="Times New Roman" w:eastAsia="宋体" w:hAnsi="Times New Roman" w:cs="Times New Roman" w:hint="eastAsia"/>
          <w:position w:val="-12"/>
          <w:sz w:val="20"/>
          <w:szCs w:val="20"/>
        </w:rPr>
        <w:object w:dxaOrig="2071" w:dyaOrig="377" w14:anchorId="44DF329D">
          <v:shape id="_x0000_i1041" type="#_x0000_t75" style="width:103.55pt;height:18.85pt" o:ole="">
            <v:imagedata r:id="rId26" o:title=""/>
          </v:shape>
          <o:OLEObject Type="Embed" ProgID="Equation.KSEE3" ShapeID="_x0000_i1041" DrawAspect="Content" ObjectID="_1694606332" r:id="rId27"/>
        </w:object>
      </w:r>
      <w:r>
        <w:rPr>
          <w:rFonts w:ascii="Times New Roman" w:eastAsia="宋体" w:hAnsi="Times New Roman" w:cs="Times New Roman" w:hint="eastAsia"/>
          <w:sz w:val="20"/>
          <w:szCs w:val="20"/>
        </w:rPr>
        <w:t xml:space="preserve"> when 240 kHz SCS of SSB is applied. Hence, the signaling granularity of common TA is at most two times of quantization error, i.e.</w:t>
      </w:r>
      <w:r>
        <w:rPr>
          <w:rFonts w:ascii="Times New Roman" w:eastAsia="宋体" w:hAnsi="Times New Roman" w:cs="Times New Roman"/>
          <w:sz w:val="20"/>
          <w:szCs w:val="20"/>
        </w:rPr>
        <w:t>,</w:t>
      </w:r>
      <w:r>
        <w:rPr>
          <w:rFonts w:ascii="Times New Roman" w:eastAsia="宋体" w:hAnsi="Times New Roman" w:cs="Times New Roman" w:hint="eastAsia"/>
          <w:position w:val="-12"/>
          <w:sz w:val="20"/>
          <w:szCs w:val="20"/>
        </w:rPr>
        <w:object w:dxaOrig="786" w:dyaOrig="377" w14:anchorId="6F71AF11">
          <v:shape id="_x0000_i1042" type="#_x0000_t75" style="width:39.3pt;height:18.85pt" o:ole="">
            <v:imagedata r:id="rId28" o:title=""/>
          </v:shape>
          <o:OLEObject Type="Embed" ProgID="Equation.KSEE3" ShapeID="_x0000_i1042" DrawAspect="Content" ObjectID="_1694606333" r:id="rId29"/>
        </w:object>
      </w:r>
      <w:r>
        <w:rPr>
          <w:rFonts w:ascii="Times New Roman" w:eastAsia="宋体" w:hAnsi="Times New Roman" w:cs="Times New Roman" w:hint="eastAsia"/>
          <w:sz w:val="20"/>
          <w:szCs w:val="20"/>
        </w:rPr>
        <w:t xml:space="preserve">. Considering that the granularity of traditional TA command is </w:t>
      </w:r>
      <w:r>
        <w:rPr>
          <w:rFonts w:eastAsia="宋体" w:hint="eastAsia"/>
          <w:position w:val="-12"/>
        </w:rPr>
        <w:object w:dxaOrig="1218" w:dyaOrig="377" w14:anchorId="5AD39FBD">
          <v:shape id="_x0000_i1043" type="#_x0000_t75" style="width:60.9pt;height:18.85pt" o:ole="">
            <v:imagedata r:id="rId30" o:title=""/>
          </v:shape>
          <o:OLEObject Type="Embed" ProgID="Equation.3" ShapeID="_x0000_i1043" DrawAspect="Content" ObjectID="_1694606334" r:id="rId31"/>
        </w:object>
      </w:r>
      <w:r>
        <w:rPr>
          <w:rFonts w:ascii="Times New Roman" w:eastAsia="宋体" w:hAnsi="Times New Roman" w:cs="Times New Roman" w:hint="eastAsia"/>
          <w:sz w:val="20"/>
          <w:szCs w:val="20"/>
        </w:rPr>
        <w:t xml:space="preserve">, where the coefficient is integral power of 2, the granularity of common TA can be chosen as </w:t>
      </w:r>
      <w:r>
        <w:rPr>
          <w:rFonts w:ascii="Times New Roman" w:eastAsia="宋体" w:hAnsi="Times New Roman" w:cs="Times New Roman" w:hint="eastAsia"/>
          <w:position w:val="-12"/>
          <w:sz w:val="20"/>
          <w:szCs w:val="20"/>
        </w:rPr>
        <w:object w:dxaOrig="598" w:dyaOrig="377" w14:anchorId="58F20B5A">
          <v:shape id="_x0000_i1044" type="#_x0000_t75" style="width:29.9pt;height:18.85pt" o:ole="">
            <v:imagedata r:id="rId32" o:title=""/>
          </v:shape>
          <o:OLEObject Type="Embed" ProgID="Equation.KSEE3" ShapeID="_x0000_i1044" DrawAspect="Content" ObjectID="_1694606335" r:id="rId33"/>
        </w:object>
      </w:r>
      <w:r>
        <w:rPr>
          <w:rFonts w:ascii="Times New Roman" w:eastAsia="宋体" w:hAnsi="Times New Roman" w:cs="Times New Roman" w:hint="eastAsia"/>
          <w:sz w:val="20"/>
          <w:szCs w:val="20"/>
        </w:rPr>
        <w:t>.</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By assuming that the granularity of common TA is </w:t>
      </w:r>
      <w:r>
        <w:rPr>
          <w:rFonts w:ascii="Times New Roman" w:eastAsia="宋体" w:hAnsi="Times New Roman" w:cs="Times New Roman" w:hint="eastAsia"/>
          <w:position w:val="-12"/>
          <w:sz w:val="20"/>
          <w:szCs w:val="20"/>
        </w:rPr>
        <w:object w:dxaOrig="598" w:dyaOrig="377" w14:anchorId="1DD926CE">
          <v:shape id="_x0000_i1045" type="#_x0000_t75" style="width:29.9pt;height:18.85pt" o:ole="">
            <v:imagedata r:id="rId34" o:title=""/>
          </v:shape>
          <o:OLEObject Type="Embed" ProgID="Equation.KSEE3" ShapeID="_x0000_i1045" DrawAspect="Content" ObjectID="_1694606336" r:id="rId35"/>
        </w:object>
      </w:r>
      <w:r>
        <w:rPr>
          <w:rFonts w:ascii="Times New Roman" w:eastAsia="宋体" w:hAnsi="Times New Roman" w:cs="Times New Roman" w:hint="eastAsia"/>
          <w:sz w:val="20"/>
          <w:szCs w:val="20"/>
        </w:rPr>
        <w:t xml:space="preserve"> and max quantization errors contributed by different order drift rates are in same </w:t>
      </w:r>
      <w:r>
        <w:rPr>
          <w:rFonts w:ascii="Times New Roman" w:eastAsia="宋体" w:hAnsi="Times New Roman" w:cs="Times New Roman"/>
          <w:sz w:val="20"/>
          <w:szCs w:val="20"/>
        </w:rPr>
        <w:t>level</w:t>
      </w:r>
      <w:r>
        <w:rPr>
          <w:rFonts w:ascii="Times New Roman" w:eastAsia="宋体" w:hAnsi="Times New Roman" w:cs="Times New Roman" w:hint="eastAsia"/>
          <w:sz w:val="20"/>
          <w:szCs w:val="20"/>
        </w:rPr>
        <w:t xml:space="preserve">, the maximum residual error of common TA after quantization are evaluated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_Ref29111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From the evaluation results, it can be observed that 12 bits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and 9 bits for second order drift rates quantization can ensure the maximum residual error of common TA is below minimum Te/10, i.e., 0.0977 us.</w:t>
      </w:r>
    </w:p>
    <w:p w:rsidR="00A64259" w:rsidRDefault="002B731B">
      <w:pPr>
        <w:pStyle w:val="a3"/>
        <w:spacing w:beforeLines="50" w:before="120" w:afterLines="50"/>
        <w:ind w:leftChars="200" w:left="440"/>
        <w:rPr>
          <w:b w:val="0"/>
          <w:lang w:val="en-US"/>
        </w:rPr>
      </w:pPr>
      <w:bookmarkStart w:id="10" w:name="_Ref29111"/>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10"/>
      <w:r>
        <w:rPr>
          <w:rFonts w:hint="eastAsia"/>
          <w:b w:val="0"/>
          <w:lang w:val="en-US"/>
        </w:rPr>
        <w:t xml:space="preserve"> Maximum </w:t>
      </w:r>
      <w:r>
        <w:rPr>
          <w:b w:val="0"/>
          <w:lang w:val="en-US"/>
        </w:rPr>
        <w:t>approximation error for the common TA with assumed indication on</w:t>
      </w:r>
      <w:r>
        <w:rPr>
          <w:rFonts w:hint="eastAsia"/>
          <w:b w:val="0"/>
          <w:lang w:val="en-US"/>
        </w:rPr>
        <w:t xml:space="preserve"> first and second order drift rates</w:t>
      </w:r>
    </w:p>
    <w:tbl>
      <w:tblPr>
        <w:tblStyle w:val="aa"/>
        <w:tblW w:w="9572" w:type="dxa"/>
        <w:jc w:val="center"/>
        <w:tblLayout w:type="fixed"/>
        <w:tblLook w:val="04A0" w:firstRow="1" w:lastRow="0" w:firstColumn="1" w:lastColumn="0" w:noHBand="0" w:noVBand="1"/>
      </w:tblPr>
      <w:tblGrid>
        <w:gridCol w:w="1598"/>
        <w:gridCol w:w="1089"/>
        <w:gridCol w:w="1147"/>
        <w:gridCol w:w="1147"/>
        <w:gridCol w:w="1147"/>
        <w:gridCol w:w="1147"/>
        <w:gridCol w:w="1147"/>
        <w:gridCol w:w="1150"/>
      </w:tblGrid>
      <w:tr w:rsidR="00A64259">
        <w:trPr>
          <w:jc w:val="center"/>
        </w:trPr>
        <w:tc>
          <w:tcPr>
            <w:tcW w:w="2687" w:type="dxa"/>
            <w:gridSpan w:val="2"/>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5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A64259">
        <w:trPr>
          <w:jc w:val="center"/>
        </w:trPr>
        <w:tc>
          <w:tcPr>
            <w:tcW w:w="2687" w:type="dxa"/>
            <w:gridSpan w:val="2"/>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No quantization</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15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A64259">
        <w:trPr>
          <w:jc w:val="center"/>
        </w:trPr>
        <w:tc>
          <w:tcPr>
            <w:tcW w:w="1598" w:type="dxa"/>
            <w:vMerge w:val="restart"/>
            <w:vAlign w:val="center"/>
          </w:tcPr>
          <w:p w:rsidR="00A64259" w:rsidRDefault="002B731B">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Quantization</w:t>
            </w:r>
          </w:p>
          <w:p w:rsidR="00A64259" w:rsidRDefault="002B731B">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(Granularity of common TA is fixed as </w:t>
            </w:r>
            <w:r>
              <w:rPr>
                <w:rFonts w:ascii="Times New Roman" w:eastAsia="宋体" w:hAnsi="Times New Roman" w:cs="Times New Roman" w:hint="eastAsia"/>
                <w:position w:val="-12"/>
                <w:sz w:val="20"/>
                <w:szCs w:val="20"/>
              </w:rPr>
              <w:object w:dxaOrig="598" w:dyaOrig="377" w14:anchorId="28823E99">
                <v:shape id="_x0000_i1046" type="#_x0000_t75" style="width:29.9pt;height:18.85pt" o:ole="">
                  <v:imagedata r:id="rId36" o:title=""/>
                </v:shape>
                <o:OLEObject Type="Embed" ProgID="Equation.KSEE3" ShapeID="_x0000_i1046" DrawAspect="Content" ObjectID="_1694606337" r:id="rId37"/>
              </w:object>
            </w:r>
            <w:r>
              <w:rPr>
                <w:rFonts w:ascii="Times New Roman" w:eastAsia="宋体" w:hAnsi="Times New Roman" w:cs="Times New Roman" w:hint="eastAsia"/>
                <w:sz w:val="20"/>
                <w:szCs w:val="20"/>
              </w:rPr>
              <w:t>)</w:t>
            </w:r>
          </w:p>
        </w:tc>
        <w:tc>
          <w:tcPr>
            <w:tcW w:w="108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11 bits </w:t>
            </w:r>
          </w:p>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8 bits  </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0.0378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0.0627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0.1543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0.3374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0.4413 us</w:t>
            </w:r>
          </w:p>
        </w:tc>
        <w:tc>
          <w:tcPr>
            <w:tcW w:w="115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1.1737 us</w:t>
            </w:r>
          </w:p>
        </w:tc>
      </w:tr>
      <w:tr w:rsidR="00A64259">
        <w:trPr>
          <w:jc w:val="center"/>
        </w:trPr>
        <w:tc>
          <w:tcPr>
            <w:tcW w:w="1598" w:type="dxa"/>
            <w:vMerge/>
            <w:vAlign w:val="center"/>
          </w:tcPr>
          <w:p w:rsidR="00A64259" w:rsidRDefault="00A64259">
            <w:pPr>
              <w:jc w:val="center"/>
              <w:rPr>
                <w:rFonts w:ascii="Times New Roman" w:eastAsia="宋体" w:hAnsi="Times New Roman" w:cs="Times New Roman"/>
                <w:sz w:val="20"/>
                <w:szCs w:val="20"/>
              </w:rPr>
            </w:pPr>
          </w:p>
        </w:tc>
        <w:tc>
          <w:tcPr>
            <w:tcW w:w="108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12 bits </w:t>
            </w:r>
          </w:p>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9 bits  </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0.0242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0.0380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0.0844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0.1660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0.4065 us</w:t>
            </w:r>
          </w:p>
        </w:tc>
        <w:tc>
          <w:tcPr>
            <w:tcW w:w="115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0.8551 us</w:t>
            </w:r>
          </w:p>
        </w:tc>
      </w:tr>
      <w:tr w:rsidR="00A64259">
        <w:trPr>
          <w:jc w:val="center"/>
        </w:trPr>
        <w:tc>
          <w:tcPr>
            <w:tcW w:w="1598" w:type="dxa"/>
            <w:vMerge/>
            <w:vAlign w:val="center"/>
          </w:tcPr>
          <w:p w:rsidR="00A64259" w:rsidRDefault="00A64259">
            <w:pPr>
              <w:jc w:val="center"/>
              <w:rPr>
                <w:rFonts w:ascii="Times New Roman" w:eastAsia="宋体" w:hAnsi="Times New Roman" w:cs="Times New Roman"/>
                <w:sz w:val="20"/>
                <w:szCs w:val="20"/>
              </w:rPr>
            </w:pPr>
          </w:p>
        </w:tc>
        <w:tc>
          <w:tcPr>
            <w:tcW w:w="108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13 bits </w:t>
            </w:r>
          </w:p>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10 bits </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0.0156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0.0218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0.0699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0.1270 us</w:t>
            </w:r>
          </w:p>
        </w:tc>
        <w:tc>
          <w:tcPr>
            <w:tcW w:w="1147"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0.2843 us</w:t>
            </w:r>
          </w:p>
        </w:tc>
        <w:tc>
          <w:tcPr>
            <w:tcW w:w="115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0.8796 us</w:t>
            </w:r>
          </w:p>
        </w:tc>
      </w:tr>
    </w:tbl>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With the consideration that minimum elevation angle is 10 degree, the required bit number for common TA parameters are summarized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_Ref16918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order to ensure the maximum residual error to be smaller than 0.0977 us, i.e., Te when SCS of SSB is 240 kHz, the required bit number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and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 are at least 12 and 9, respectively. In this case, the granularity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drift rate is 2.78e-3 us/s and the granularity for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 is 2.84e-4 us/s</w:t>
      </w:r>
      <w:r>
        <w:rPr>
          <w:rFonts w:ascii="Times New Roman" w:eastAsia="宋体" w:hAnsi="Times New Roman" w:cs="Times New Roman" w:hint="eastAsia"/>
          <w:sz w:val="20"/>
          <w:szCs w:val="20"/>
          <w:vertAlign w:val="superscript"/>
        </w:rPr>
        <w:t>2</w:t>
      </w:r>
      <w:r>
        <w:rPr>
          <w:rFonts w:ascii="Times New Roman" w:eastAsia="宋体" w:hAnsi="Times New Roman" w:cs="Times New Roman" w:hint="eastAsia"/>
          <w:sz w:val="20"/>
          <w:szCs w:val="20"/>
        </w:rPr>
        <w:t>.</w:t>
      </w:r>
    </w:p>
    <w:p w:rsidR="00A64259" w:rsidRDefault="002B731B">
      <w:pPr>
        <w:pStyle w:val="a3"/>
        <w:spacing w:beforeLines="50" w:before="120" w:afterLines="50"/>
        <w:ind w:leftChars="200" w:left="44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1"/>
      <w:r>
        <w:rPr>
          <w:rFonts w:hint="eastAsia"/>
          <w:b w:val="0"/>
          <w:lang w:val="en-US"/>
        </w:rPr>
        <w:t xml:space="preserve"> Required bit number for common TA and common TA drift rate expression to ensure valid time is longer than 10 s when tolerance range of common TA is assumed as Te and SCS is 240 kHz</w:t>
      </w:r>
    </w:p>
    <w:tbl>
      <w:tblPr>
        <w:tblStyle w:val="aa"/>
        <w:tblW w:w="0" w:type="auto"/>
        <w:jc w:val="center"/>
        <w:tblLook w:val="04A0" w:firstRow="1" w:lastRow="0" w:firstColumn="1" w:lastColumn="0" w:noHBand="0" w:noVBand="1"/>
      </w:tblPr>
      <w:tblGrid>
        <w:gridCol w:w="1419"/>
        <w:gridCol w:w="1419"/>
        <w:gridCol w:w="1549"/>
        <w:gridCol w:w="1549"/>
        <w:gridCol w:w="1551"/>
      </w:tblGrid>
      <w:tr w:rsidR="00A64259">
        <w:trPr>
          <w:trHeight w:val="222"/>
          <w:jc w:val="center"/>
        </w:trPr>
        <w:tc>
          <w:tcPr>
            <w:tcW w:w="2838" w:type="dxa"/>
            <w:gridSpan w:val="2"/>
          </w:tcPr>
          <w:p w:rsidR="00A64259" w:rsidRDefault="00A64259">
            <w:pPr>
              <w:rPr>
                <w:rFonts w:ascii="Times New Roman" w:eastAsia="宋体" w:hAnsi="Times New Roman" w:cs="Times New Roman"/>
                <w:sz w:val="20"/>
                <w:szCs w:val="20"/>
              </w:rPr>
            </w:pP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A64259">
        <w:trPr>
          <w:trHeight w:val="228"/>
          <w:jc w:val="center"/>
        </w:trPr>
        <w:tc>
          <w:tcPr>
            <w:tcW w:w="1419" w:type="dxa"/>
            <w:vMerge w:val="restart"/>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Common TA</w:t>
            </w: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12.88 ms</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20.88 ms</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270.54 ms</w:t>
            </w:r>
          </w:p>
        </w:tc>
      </w:tr>
      <w:tr w:rsidR="00A64259">
        <w:trPr>
          <w:trHeight w:val="228"/>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98" w:dyaOrig="377" w14:anchorId="6D026085">
                <v:shape id="_x0000_i1047" type="#_x0000_t75" style="width:29.9pt;height:18.85pt" o:ole="">
                  <v:imagedata r:id="rId38" o:title=""/>
                </v:shape>
                <o:OLEObject Type="Embed" ProgID="Equation.KSEE3" ShapeID="_x0000_i1047" DrawAspect="Content" ObjectID="_1694606338" r:id="rId39"/>
              </w:objec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98" w:dyaOrig="377" w14:anchorId="79C6FDCC">
                <v:shape id="_x0000_i1048" type="#_x0000_t75" style="width:29.9pt;height:18.85pt" o:ole="">
                  <v:imagedata r:id="rId40" o:title=""/>
                </v:shape>
                <o:OLEObject Type="Embed" ProgID="Equation.KSEE3" ShapeID="_x0000_i1048" DrawAspect="Content" ObjectID="_1694606339" r:id="rId41"/>
              </w:objec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position w:val="-12"/>
                <w:sz w:val="20"/>
                <w:szCs w:val="20"/>
              </w:rPr>
              <w:object w:dxaOrig="598" w:dyaOrig="377" w14:anchorId="2AAC3DDF">
                <v:shape id="_x0000_i1049" type="#_x0000_t75" style="width:29.9pt;height:18.85pt" o:ole="">
                  <v:imagedata r:id="rId42" o:title=""/>
                </v:shape>
                <o:OLEObject Type="Embed" ProgID="Equation.KSEE3" ShapeID="_x0000_i1049" DrawAspect="Content" ObjectID="_1694606340" r:id="rId43"/>
              </w:object>
            </w:r>
          </w:p>
        </w:tc>
      </w:tr>
      <w:tr w:rsidR="00A64259">
        <w:trPr>
          <w:trHeight w:val="582"/>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21</w:t>
            </w:r>
          </w:p>
        </w:tc>
        <w:tc>
          <w:tcPr>
            <w:tcW w:w="1551"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24</w:t>
            </w:r>
          </w:p>
        </w:tc>
      </w:tr>
      <w:tr w:rsidR="00A64259">
        <w:trPr>
          <w:trHeight w:val="582"/>
          <w:jc w:val="center"/>
        </w:trPr>
        <w:tc>
          <w:tcPr>
            <w:tcW w:w="1419" w:type="dxa"/>
            <w:vMerge w:val="restart"/>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First order drift rate </w:t>
            </w: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45.4 us/s</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40.1 us/s</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A64259">
        <w:trPr>
          <w:trHeight w:val="582"/>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1.11e-2 us/s</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1.11e-2 us/s</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A64259">
        <w:trPr>
          <w:trHeight w:val="582"/>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551"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A64259">
        <w:trPr>
          <w:trHeight w:val="582"/>
          <w:jc w:val="center"/>
        </w:trPr>
        <w:tc>
          <w:tcPr>
            <w:tcW w:w="1419" w:type="dxa"/>
            <w:vMerge w:val="restart"/>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Second order drift rate</w:t>
            </w: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Upper bound </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0.581 us/s</w:t>
            </w:r>
            <w:r>
              <w:rPr>
                <w:rFonts w:ascii="Times New Roman" w:eastAsia="宋体" w:hAnsi="Times New Roman" w:cs="Times New Roman" w:hint="eastAsia"/>
                <w:sz w:val="20"/>
                <w:szCs w:val="20"/>
                <w:vertAlign w:val="superscript"/>
              </w:rPr>
              <w:t>2</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0.2464 us/s</w:t>
            </w:r>
            <w:r>
              <w:rPr>
                <w:rFonts w:ascii="Times New Roman" w:eastAsia="宋体" w:hAnsi="Times New Roman" w:cs="Times New Roman" w:hint="eastAsia"/>
                <w:sz w:val="20"/>
                <w:szCs w:val="20"/>
                <w:vertAlign w:val="superscript"/>
              </w:rPr>
              <w:t>2</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A64259">
        <w:trPr>
          <w:trHeight w:val="582"/>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1.13e-3 us/s</w:t>
            </w:r>
            <w:r>
              <w:rPr>
                <w:rFonts w:ascii="Times New Roman" w:eastAsia="宋体" w:hAnsi="Times New Roman" w:cs="Times New Roman" w:hint="eastAsia"/>
                <w:sz w:val="20"/>
                <w:szCs w:val="20"/>
                <w:vertAlign w:val="superscript"/>
              </w:rPr>
              <w:t>2</w:t>
            </w:r>
          </w:p>
        </w:tc>
        <w:tc>
          <w:tcPr>
            <w:tcW w:w="154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1.13e-3 us/s</w:t>
            </w:r>
            <w:r>
              <w:rPr>
                <w:rFonts w:ascii="Times New Roman" w:eastAsia="宋体" w:hAnsi="Times New Roman" w:cs="Times New Roman" w:hint="eastAsia"/>
                <w:sz w:val="20"/>
                <w:szCs w:val="20"/>
                <w:vertAlign w:val="superscript"/>
              </w:rPr>
              <w:t>2</w:t>
            </w:r>
          </w:p>
        </w:tc>
        <w:tc>
          <w:tcPr>
            <w:tcW w:w="1551"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A64259">
        <w:trPr>
          <w:trHeight w:val="582"/>
          <w:jc w:val="center"/>
        </w:trPr>
        <w:tc>
          <w:tcPr>
            <w:tcW w:w="1419" w:type="dxa"/>
            <w:vMerge/>
          </w:tcPr>
          <w:p w:rsidR="00A64259" w:rsidRDefault="00A64259">
            <w:pPr>
              <w:jc w:val="center"/>
              <w:rPr>
                <w:rFonts w:ascii="Times New Roman" w:eastAsia="宋体" w:hAnsi="Times New Roman" w:cs="Times New Roman"/>
                <w:sz w:val="20"/>
                <w:szCs w:val="20"/>
              </w:rPr>
            </w:pPr>
          </w:p>
        </w:tc>
        <w:tc>
          <w:tcPr>
            <w:tcW w:w="1419"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549"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w:t>
            </w:r>
          </w:p>
        </w:tc>
        <w:tc>
          <w:tcPr>
            <w:tcW w:w="1551"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A64259" w:rsidRDefault="002B731B">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cs="Times New Roman" w:hint="eastAsia"/>
          <w:position w:val="-12"/>
          <w:sz w:val="20"/>
          <w:szCs w:val="20"/>
        </w:rPr>
        <w:object w:dxaOrig="598" w:dyaOrig="377" w14:anchorId="208F06A9">
          <v:shape id="_x0000_i1050" type="#_x0000_t75" style="width:29.9pt;height:18.85pt" o:ole="">
            <v:imagedata r:id="rId44" o:title=""/>
          </v:shape>
          <o:OLEObject Type="Embed" ProgID="Equation.KSEE3" ShapeID="_x0000_i1050" DrawAspect="Content" ObjectID="_1694606341" r:id="rId45"/>
        </w:object>
      </w:r>
      <w:r>
        <w:rPr>
          <w:rFonts w:ascii="Times New Roman" w:eastAsia="宋体" w:hAnsi="Times New Roman"/>
          <w:i/>
          <w:sz w:val="20"/>
          <w:szCs w:val="20"/>
        </w:rPr>
        <w:t>.</w:t>
      </w:r>
      <w:r>
        <w:rPr>
          <w:rFonts w:ascii="Times New Roman" w:eastAsia="宋体" w:hAnsi="Times New Roman" w:hint="eastAsia"/>
          <w:i/>
          <w:sz w:val="20"/>
          <w:szCs w:val="20"/>
        </w:rPr>
        <w:t xml:space="preserve"> The signaling granularity of first order drift rate can be chosen as 1.11*10</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 xml:space="preserve"> us/s. The signaling granularity of second order drift rate can be chosen as 1.13*10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3: </w:t>
      </w:r>
      <w:r>
        <w:rPr>
          <w:rFonts w:ascii="Times New Roman" w:eastAsia="宋体" w:hAnsi="Times New Roman"/>
          <w:i/>
          <w:sz w:val="20"/>
          <w:szCs w:val="20"/>
        </w:rPr>
        <w:t>The required bit size for broadcasting of TA parameters for LEO is:</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common TA in a field of 21 bits</w:t>
      </w:r>
      <w:r>
        <w:rPr>
          <w:rFonts w:ascii="Times New Roman" w:hAnsi="Times New Roman" w:cs="Times New Roman"/>
          <w:i/>
          <w:iCs/>
          <w:sz w:val="20"/>
          <w:szCs w:val="20"/>
        </w:rPr>
        <w:t>;</w:t>
      </w:r>
      <w:r>
        <w:rPr>
          <w:rFonts w:ascii="Times New Roman" w:hAnsi="Times New Roman" w:cs="Times New Roman" w:hint="eastAsia"/>
          <w:i/>
          <w:iCs/>
          <w:sz w:val="20"/>
          <w:szCs w:val="20"/>
        </w:rPr>
        <w:t xml:space="preserve"> </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first order drift rate in a field of 12 bits</w:t>
      </w:r>
      <w:r>
        <w:rPr>
          <w:rFonts w:ascii="Times New Roman" w:hAnsi="Times New Roman" w:cs="Times New Roman"/>
          <w:i/>
          <w:iCs/>
          <w:sz w:val="20"/>
          <w:szCs w:val="20"/>
        </w:rPr>
        <w:t>;</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second order drift rate in a field of 9 bits</w:t>
      </w:r>
      <w:r>
        <w:rPr>
          <w:rFonts w:ascii="Times New Roman" w:hAnsi="Times New Roman" w:cs="Times New Roman"/>
          <w:i/>
          <w:iCs/>
          <w:sz w:val="20"/>
          <w:szCs w:val="20"/>
        </w:rPr>
        <w:t xml:space="preserve"> if supported;</w:t>
      </w:r>
    </w:p>
    <w:p w:rsidR="00A64259" w:rsidRDefault="002B731B">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4: </w:t>
      </w:r>
      <w:r>
        <w:rPr>
          <w:rFonts w:ascii="Times New Roman" w:eastAsia="宋体" w:hAnsi="Times New Roman"/>
          <w:i/>
          <w:sz w:val="20"/>
          <w:szCs w:val="20"/>
        </w:rPr>
        <w:t xml:space="preserve">The required bit size for broadcasting of TA parameters for GEO is </w:t>
      </w:r>
      <w:r>
        <w:rPr>
          <w:rFonts w:ascii="Times New Roman" w:eastAsia="宋体" w:hAnsi="Times New Roman" w:hint="eastAsia"/>
          <w:i/>
          <w:sz w:val="20"/>
          <w:szCs w:val="20"/>
        </w:rPr>
        <w:t>24 bits.</w:t>
      </w:r>
    </w:p>
    <w:p w:rsidR="00A64259" w:rsidRDefault="002B731B">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margin</w:t>
      </w:r>
    </w:p>
    <w:p w:rsidR="00A64259" w:rsidRDefault="002B731B">
      <w:pPr>
        <w:numPr>
          <w:ilvl w:val="3"/>
          <w:numId w:val="0"/>
        </w:numPr>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hAnsi="Times New Roman"/>
          <w:sz w:val="20"/>
          <w:szCs w:val="20"/>
        </w:rPr>
        <w:t xml:space="preserve">As mentioned above, in </w:t>
      </w:r>
      <w:r>
        <w:rPr>
          <w:rFonts w:ascii="Times New Roman" w:eastAsia="宋体" w:hAnsi="Times New Roman" w:cs="Times New Roman" w:hint="eastAsia"/>
          <w:sz w:val="20"/>
          <w:szCs w:val="20"/>
        </w:rPr>
        <w:t xml:space="preserve">RAN1#106e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hAnsi="Times New Roman"/>
          <w:sz w:val="20"/>
          <w:szCs w:val="20"/>
        </w:rPr>
        <w:t>, the discussion on TA margin for during RACH procedure</w:t>
      </w:r>
      <w:r>
        <w:rPr>
          <w:rFonts w:ascii="Times New Roman" w:hAnsi="Times New Roman" w:hint="eastAsia"/>
          <w:sz w:val="20"/>
          <w:szCs w:val="20"/>
        </w:rPr>
        <w:t xml:space="preserve"> was discussed </w:t>
      </w:r>
      <w:r>
        <w:rPr>
          <w:rFonts w:ascii="Times New Roman" w:hAnsi="Times New Roman"/>
          <w:sz w:val="20"/>
          <w:szCs w:val="20"/>
        </w:rPr>
        <w:t>with 4 options for down-selection. In our view,</w:t>
      </w:r>
      <w:r>
        <w:rPr>
          <w:rFonts w:ascii="Times New Roman" w:eastAsia="宋体" w:hAnsi="Times New Roman" w:cs="Times New Roman" w:hint="eastAsia"/>
          <w:sz w:val="20"/>
          <w:szCs w:val="20"/>
        </w:rPr>
        <w:t xml:space="preserve"> option 4 is preferred since the interference due to over pre-compensation is not significant and TA margin is not needed. </w:t>
      </w:r>
    </w:p>
    <w:p w:rsidR="00A64259" w:rsidRDefault="002B731B">
      <w:pPr>
        <w:spacing w:beforeLines="50" w:before="120" w:afterLines="50" w:after="120" w:line="240" w:lineRule="auto"/>
        <w:jc w:val="center"/>
        <w:rPr>
          <w:rFonts w:ascii="Times New Roman" w:eastAsia="宋体" w:hAnsi="Times New Roman"/>
          <w:iCs/>
          <w:sz w:val="20"/>
          <w:szCs w:val="20"/>
        </w:rPr>
      </w:pPr>
      <w:r>
        <w:rPr>
          <w:rFonts w:ascii="Times New Roman" w:eastAsia="宋体" w:hAnsi="Times New Roman" w:hint="eastAsia"/>
          <w:iCs/>
          <w:noProof/>
          <w:sz w:val="20"/>
          <w:szCs w:val="20"/>
        </w:rPr>
        <w:drawing>
          <wp:inline distT="0" distB="0" distL="114300" distR="114300">
            <wp:extent cx="2838450" cy="2128520"/>
            <wp:effectExtent l="0" t="0" r="0" b="5080"/>
            <wp:docPr id="9" name="图片 9" descr="TAoverest_Ka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Aoverest_Kaband"/>
                    <pic:cNvPicPr>
                      <a:picLocks noChangeAspect="1"/>
                    </pic:cNvPicPr>
                  </pic:nvPicPr>
                  <pic:blipFill>
                    <a:blip r:embed="rId46"/>
                    <a:stretch>
                      <a:fillRect/>
                    </a:stretch>
                  </pic:blipFill>
                  <pic:spPr>
                    <a:xfrm>
                      <a:off x="0" y="0"/>
                      <a:ext cx="2841113" cy="2131058"/>
                    </a:xfrm>
                    <a:prstGeom prst="rect">
                      <a:avLst/>
                    </a:prstGeom>
                  </pic:spPr>
                </pic:pic>
              </a:graphicData>
            </a:graphic>
          </wp:inline>
        </w:drawing>
      </w:r>
    </w:p>
    <w:p w:rsidR="00A64259" w:rsidRDefault="002B731B">
      <w:pPr>
        <w:pStyle w:val="a3"/>
        <w:rPr>
          <w:lang w:val="en-US"/>
        </w:rPr>
      </w:pPr>
      <w:bookmarkStart w:id="12" w:name="_Ref27744"/>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12"/>
      <w:r>
        <w:rPr>
          <w:rFonts w:hint="eastAsia"/>
          <w:b w:val="0"/>
          <w:bCs w:val="0"/>
          <w:lang w:val="en-US"/>
        </w:rPr>
        <w:t xml:space="preserve"> Influ</w:t>
      </w:r>
      <w:r>
        <w:rPr>
          <w:rFonts w:hint="eastAsia"/>
          <w:b w:val="0"/>
          <w:lang w:val="en-US"/>
        </w:rPr>
        <w:t>ence of TA overestimation in Ka-band</w:t>
      </w:r>
      <w:r>
        <w:rPr>
          <w:b w:val="0"/>
        </w:rPr>
        <w:t xml:space="preserve">. </w:t>
      </w:r>
    </w:p>
    <w:p w:rsidR="00A64259" w:rsidRDefault="002B731B">
      <w:pPr>
        <w:ind w:leftChars="200" w:left="440"/>
        <w:jc w:val="both"/>
        <w:rPr>
          <w:rFonts w:ascii="Times New Roman" w:eastAsia="宋体" w:hAnsi="Times New Roman"/>
          <w:b/>
          <w:i/>
          <w:sz w:val="20"/>
          <w:szCs w:val="20"/>
        </w:rPr>
      </w:pPr>
      <w:r>
        <w:rPr>
          <w:rFonts w:ascii="Times New Roman" w:eastAsia="宋体" w:hAnsi="Times New Roman" w:cs="Times New Roman" w:hint="eastAsia"/>
          <w:sz w:val="20"/>
          <w:szCs w:val="20"/>
        </w:rPr>
        <w:lastRenderedPageBreak/>
        <w:t xml:space="preserve">In order to make all PRACH preamble formats feasible, the residual TA error after pre-compensation should be smaller than half CP (at least) of format B1 (which has shortest CP among all preamble formats) with largest SCS (e.g., 120 kHz for Ka-band). Therefore, the residual error after TA pre-compensation is upper bounded by 439.45 ns. Under this situation, with the detailed simulation parameters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_Ref27953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9</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w:t>
      </w:r>
      <w:r>
        <w:rPr>
          <w:rFonts w:ascii="Times New Roman" w:eastAsia="宋体" w:hAnsi="Times New Roman" w:cs="Times New Roman" w:hint="eastAsia"/>
          <w:sz w:val="20"/>
          <w:szCs w:val="20"/>
        </w:rPr>
        <w:t>he influence of TA overestimation is evaluated as shown i</w:t>
      </w:r>
      <w:r>
        <w:rPr>
          <w:rFonts w:ascii="Times New Roman" w:eastAsia="宋体" w:hAnsi="Times New Roman" w:cs="Times New Roman"/>
          <w:sz w:val="20"/>
          <w:szCs w:val="20"/>
        </w:rPr>
        <w:t xml:space="preserve">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_Ref27744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It can be observed that negligible performance impacts occurs for the PUSCH transmission from other UE and TA margin is not needed.</w:t>
      </w:r>
    </w:p>
    <w:p w:rsidR="00A64259" w:rsidRDefault="002B731B">
      <w:pPr>
        <w:ind w:leftChars="200" w:left="440"/>
        <w:jc w:val="both"/>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eastAsia="宋体" w:hAnsi="Times New Roman" w:hint="eastAsia"/>
          <w:i/>
          <w:sz w:val="20"/>
          <w:szCs w:val="20"/>
        </w:rPr>
        <w:t>The over pre-compensation of TA during RACH procedure should be handled by UE via implementation.</w:t>
      </w:r>
    </w:p>
    <w:p w:rsidR="00A64259" w:rsidRDefault="002B731B">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maintenance mechanism</w:t>
      </w:r>
      <w:r>
        <w:rPr>
          <w:rFonts w:ascii="Times New Roman" w:eastAsia="宋体" w:hAnsi="Times New Roman" w:cs="Times New Roman"/>
          <w:sz w:val="24"/>
          <w:szCs w:val="24"/>
          <w:lang w:val="en-US"/>
        </w:rPr>
        <w:t xml:space="preserve"> </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According to previous discussion, following equation is considered for the TA calculation</w:t>
      </w:r>
      <w:r>
        <w:rPr>
          <w:rFonts w:ascii="Times New Roman" w:eastAsia="宋体" w:hAnsi="Times New Roman" w:cs="Times New Roman" w:hint="eastAsia"/>
          <w:sz w:val="20"/>
          <w:szCs w:val="20"/>
        </w:rPr>
        <w:t xml:space="preserve"> in RAN1#106e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A64259" w:rsidRDefault="002B731B">
      <w:pPr>
        <w:spacing w:after="240" w:line="240" w:lineRule="auto"/>
        <w:jc w:val="center"/>
        <w:rPr>
          <w:rFonts w:ascii="Times New Roman" w:eastAsia="宋体" w:hAnsi="Times New Roman" w:cs="Times New Roman"/>
          <w:sz w:val="20"/>
          <w:szCs w:val="20"/>
        </w:rPr>
      </w:pPr>
      <w:r>
        <w:rPr>
          <w:rFonts w:ascii="Cambria Math" w:eastAsia="宋体" w:hAnsi="Cambria Math" w:cs="Times New Roman" w:hint="eastAsia"/>
          <w:sz w:val="20"/>
          <w:szCs w:val="20"/>
        </w:rPr>
        <w:t xml:space="preserve"> </w:t>
      </w:r>
      <w:r>
        <w:rPr>
          <w:rFonts w:ascii="Times New Roman" w:eastAsia="宋体" w:hAnsi="Times New Roman" w:cs="Times New Roman" w:hint="eastAsia"/>
          <w:position w:val="-14"/>
          <w:sz w:val="20"/>
          <w:szCs w:val="20"/>
        </w:rPr>
        <w:object w:dxaOrig="4830" w:dyaOrig="377" w14:anchorId="02B89946">
          <v:shape id="_x0000_i1051" type="#_x0000_t75" style="width:241.5pt;height:18.85pt" o:ole="">
            <v:imagedata r:id="rId47" o:title=""/>
          </v:shape>
          <o:OLEObject Type="Embed" ProgID="Equation.KSEE3" ShapeID="_x0000_i1051" DrawAspect="Content" ObjectID="_1694606342" r:id="rId48"/>
        </w:object>
      </w:r>
      <w:r>
        <w:rPr>
          <w:rFonts w:ascii="Cambria Math" w:eastAsia="宋体" w:hAnsi="Cambria Math" w:cs="Times New Roman" w:hint="eastAsia"/>
          <w:sz w:val="20"/>
          <w:szCs w:val="20"/>
        </w:rPr>
        <w:t>.</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RRC_CONNECTED state</w:t>
      </w:r>
      <w:r>
        <w:rPr>
          <w:rFonts w:ascii="Times New Roman" w:eastAsia="宋体" w:hAnsi="Times New Roman" w:cs="Times New Roman"/>
          <w:sz w:val="20"/>
          <w:szCs w:val="20"/>
        </w:rPr>
        <w:t>,</w:t>
      </w:r>
      <w:r>
        <w:rPr>
          <w:rFonts w:ascii="Times New Roman" w:eastAsia="宋体" w:hAnsi="Times New Roman" w:cs="Times New Roman" w:hint="eastAsia"/>
          <w:position w:val="-10"/>
          <w:sz w:val="20"/>
          <w:szCs w:val="20"/>
        </w:rPr>
        <w:object w:dxaOrig="421" w:dyaOrig="343" w14:anchorId="3B492CB8">
          <v:shape id="_x0000_i1052" type="#_x0000_t75" style="width:21.05pt;height:17.15pt" o:ole="">
            <v:imagedata r:id="rId49" o:title=""/>
          </v:shape>
          <o:OLEObject Type="Embed" ProgID="Equation.KSEE3" ShapeID="_x0000_i1052" DrawAspect="Content" ObjectID="_1694606343" r:id="rId50"/>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1185" w:dyaOrig="377" w14:anchorId="45A00410">
          <v:shape id="_x0000_i1053" type="#_x0000_t75" style="width:59.25pt;height:18.85pt" o:ole="">
            <v:imagedata r:id="rId51" o:title=""/>
          </v:shape>
          <o:OLEObject Type="Embed" ProgID="Equation.KSEE3" ShapeID="_x0000_i1053" DrawAspect="Content" ObjectID="_1694606344" r:id="rId52"/>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 xml:space="preserve">and </w:t>
      </w:r>
      <w:r>
        <w:rPr>
          <w:rFonts w:ascii="Times New Roman" w:eastAsia="宋体" w:hAnsi="Times New Roman" w:cs="Times New Roman" w:hint="eastAsia"/>
          <w:position w:val="-14"/>
          <w:sz w:val="20"/>
          <w:szCs w:val="20"/>
        </w:rPr>
        <w:object w:dxaOrig="942" w:dyaOrig="377" w14:anchorId="06A72E9B">
          <v:shape id="_x0000_i1054" type="#_x0000_t75" style="width:47.1pt;height:18.85pt" o:ole="">
            <v:imagedata r:id="rId53" o:title=""/>
          </v:shape>
          <o:OLEObject Type="Embed" ProgID="Equation.KSEE3" ShapeID="_x0000_i1054" DrawAspect="Content" ObjectID="_1694606345" r:id="rId54"/>
        </w:objec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will be time-variant</w:t>
      </w:r>
      <w:r>
        <w:rPr>
          <w:rFonts w:ascii="Times New Roman" w:eastAsia="宋体" w:hAnsi="Times New Roman" w:cs="Times New Roman" w:hint="eastAsia"/>
          <w:sz w:val="20"/>
          <w:szCs w:val="20"/>
        </w:rPr>
        <w:t xml:space="preserve"> and need to be updated during TA maintenance. </w:t>
      </w:r>
    </w:p>
    <w:p w:rsidR="00A64259" w:rsidRDefault="002B731B">
      <w:pPr>
        <w:pStyle w:val="2"/>
        <w:numPr>
          <w:ilvl w:val="2"/>
          <w:numId w:val="9"/>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Mechanism on TA updates with Closed-loop value</w:t>
      </w:r>
    </w:p>
    <w:p w:rsidR="00A64259" w:rsidRDefault="002B731B">
      <w:pPr>
        <w:spacing w:after="120"/>
        <w:ind w:leftChars="191" w:left="4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closed loop TA control, i.e., update mechanism of </w:t>
      </w:r>
      <w:r>
        <w:rPr>
          <w:rFonts w:ascii="Times New Roman" w:eastAsia="宋体" w:hAnsi="Times New Roman" w:cs="Times New Roman" w:hint="eastAsia"/>
          <w:position w:val="-10"/>
          <w:sz w:val="20"/>
          <w:szCs w:val="20"/>
        </w:rPr>
        <w:object w:dxaOrig="421" w:dyaOrig="343" w14:anchorId="1A740AAC">
          <v:shape id="_x0000_i1055" type="#_x0000_t75" style="width:21.05pt;height:17.15pt" o:ole="">
            <v:imagedata r:id="rId49" o:title=""/>
          </v:shape>
          <o:OLEObject Type="Embed" ProgID="Equation.KSEE3" ShapeID="_x0000_i1055" DrawAspect="Content" ObjectID="_1694606346" r:id="rId55"/>
        </w:object>
      </w:r>
      <w:r>
        <w:rPr>
          <w:rFonts w:ascii="Times New Roman" w:eastAsia="宋体" w:hAnsi="Times New Roman" w:cs="Times New Roman" w:hint="eastAsia"/>
          <w:sz w:val="20"/>
          <w:szCs w:val="20"/>
        </w:rPr>
        <w:t xml:space="preserve">, has been agreed in RAN1#106e based on Rel-16 specification except that </w:t>
      </w:r>
      <w:r>
        <w:rPr>
          <w:rFonts w:ascii="Times New Roman" w:eastAsia="宋体" w:hAnsi="Times New Roman" w:cs="Times New Roman" w:hint="eastAsia"/>
          <w:position w:val="-14"/>
          <w:sz w:val="20"/>
          <w:szCs w:val="20"/>
        </w:rPr>
        <w:object w:dxaOrig="731" w:dyaOrig="377" w14:anchorId="10BBEA49">
          <v:shape id="_x0000_i1056" type="#_x0000_t75" style="width:36.55pt;height:18.85pt" o:ole="">
            <v:imagedata r:id="rId56" o:title=""/>
          </v:shape>
          <o:OLEObject Type="Embed" ProgID="Equation.KSEE3" ShapeID="_x0000_i1056" DrawAspect="Content" ObjectID="_1694606347" r:id="rId57"/>
        </w:object>
      </w:r>
      <w:r>
        <w:rPr>
          <w:rFonts w:ascii="Times New Roman" w:eastAsia="宋体" w:hAnsi="Times New Roman" w:cs="Times New Roman" w:hint="eastAsia"/>
          <w:sz w:val="20"/>
          <w:szCs w:val="20"/>
        </w:rPr>
        <w:t xml:space="preserve"> is introduced at initial access and its value is FFS. Since </w:t>
      </w:r>
      <w:r>
        <w:rPr>
          <w:rFonts w:ascii="Times New Roman" w:eastAsia="宋体" w:hAnsi="Times New Roman" w:cs="Times New Roman" w:hint="eastAsia"/>
          <w:position w:val="-14"/>
          <w:sz w:val="20"/>
          <w:szCs w:val="20"/>
        </w:rPr>
        <w:object w:dxaOrig="731" w:dyaOrig="377" w14:anchorId="04E07B10">
          <v:shape id="_x0000_i1057" type="#_x0000_t75" style="width:36.55pt;height:18.85pt" o:ole="">
            <v:imagedata r:id="rId56" o:title=""/>
          </v:shape>
          <o:OLEObject Type="Embed" ProgID="Equation.KSEE3" ShapeID="_x0000_i1057" DrawAspect="Content" ObjectID="_1694606348" r:id="rId58"/>
        </w:object>
      </w:r>
      <w:r>
        <w:rPr>
          <w:rFonts w:ascii="Times New Roman" w:eastAsia="宋体" w:hAnsi="Times New Roman" w:cs="Times New Roman" w:hint="eastAsia"/>
          <w:sz w:val="20"/>
          <w:szCs w:val="20"/>
        </w:rPr>
        <w:t xml:space="preserve"> is introduced mainly to handle the possible TA margin, we think its value should be zero since TA margin is not needed as previously analyzed.</w:t>
      </w:r>
    </w:p>
    <w:p w:rsidR="00A64259" w:rsidRDefault="002B731B">
      <w:pPr>
        <w:spacing w:beforeLines="50" w:before="120" w:afterLines="50" w:after="120" w:line="240" w:lineRule="auto"/>
        <w:ind w:left="420"/>
        <w:jc w:val="both"/>
        <w:rPr>
          <w:rFonts w:ascii="Times New Roman" w:hAnsi="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hAnsi="Times New Roman"/>
          <w:i/>
          <w:iCs/>
          <w:sz w:val="20"/>
          <w:szCs w:val="20"/>
        </w:rPr>
        <w:t xml:space="preserve">When TAC </w:t>
      </w:r>
      <w:r>
        <w:rPr>
          <w:rFonts w:ascii="Times New Roman" w:hAnsi="Times New Roman"/>
          <w:sz w:val="20"/>
          <w:szCs w:val="20"/>
        </w:rPr>
        <w:t>(</w:t>
      </w:r>
      <w:r>
        <w:rPr>
          <w:rFonts w:ascii="Times New Roman" w:hAnsi="Times New Roman"/>
          <w:position w:val="-10"/>
          <w:sz w:val="20"/>
          <w:szCs w:val="20"/>
        </w:rPr>
        <w:object w:dxaOrig="321" w:dyaOrig="343" w14:anchorId="6C479722">
          <v:shape id="_x0000_i1058" type="#_x0000_t75" style="width:16.05pt;height:17.15pt" o:ole="">
            <v:imagedata r:id="rId10" o:title=""/>
          </v:shape>
          <o:OLEObject Type="Embed" ProgID="Equation.KSEE3" ShapeID="_x0000_i1058" DrawAspect="Content" ObjectID="_1694606349" r:id="rId59"/>
        </w:object>
      </w:r>
      <w:r>
        <w:rPr>
          <w:rFonts w:ascii="Times New Roman" w:hAnsi="Times New Roman" w:hint="eastAsia"/>
          <w:sz w:val="20"/>
          <w:szCs w:val="20"/>
        </w:rPr>
        <w:t>)</w:t>
      </w:r>
      <w:r>
        <w:rPr>
          <w:rFonts w:ascii="Times New Roman" w:hAnsi="Times New Roman"/>
          <w:i/>
          <w:iCs/>
          <w:sz w:val="20"/>
          <w:szCs w:val="20"/>
        </w:rPr>
        <w:t xml:space="preserve"> in msg2/msgB is received, UE receives the first adjustment and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4DD4B7E0">
          <v:shape id="_x0000_i1059"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Pr>
          <w:rFonts w:ascii="Times New Roman" w:hAnsi="Times New Roman"/>
          <w:i/>
          <w:iCs/>
          <w:position w:val="-10"/>
          <w:sz w:val="20"/>
          <w:szCs w:val="20"/>
        </w:rPr>
        <w:object w:dxaOrig="465" w:dyaOrig="343" w14:anchorId="49A45EA5">
          <v:shape id="_x0000_i1060" type="#_x0000_t75" style="width:23.25pt;height:17.15pt" o:ole="">
            <v:imagedata r:id="rId13" o:title=""/>
          </v:shape>
          <o:OLEObject Type="Embed" ProgID="Equation.KSEE3" ShapeID="_x0000_i1060" DrawAspect="Content" ObjectID="_1694606350" r:id="rId60"/>
        </w:object>
      </w:r>
      <w:r>
        <w:rPr>
          <w:rFonts w:ascii="Times New Roman" w:hAnsi="Times New Roman"/>
          <w:i/>
          <w:iCs/>
          <w:sz w:val="20"/>
          <w:szCs w:val="20"/>
        </w:rPr>
        <w:fldChar w:fldCharType="end"/>
      </w:r>
      <w:r>
        <w:rPr>
          <w:rFonts w:ascii="Times New Roman" w:hAnsi="Times New Roman"/>
          <w:i/>
          <w:iCs/>
          <w:sz w:val="20"/>
          <w:szCs w:val="20"/>
        </w:rPr>
        <w:t xml:space="preserve"> is updated as follows:</w:t>
      </w:r>
    </w:p>
    <w:p w:rsidR="00A64259" w:rsidRDefault="002B731B">
      <w:pPr>
        <w:spacing w:beforeLines="50" w:before="120" w:afterLines="50" w:after="120" w:line="240" w:lineRule="auto"/>
        <w:ind w:left="420"/>
        <w:jc w:val="center"/>
        <w:rPr>
          <w:rFonts w:ascii="Times New Roman" w:hAnsi="Times New Roman"/>
          <w:i/>
          <w:iCs/>
          <w:sz w:val="20"/>
          <w:szCs w:val="20"/>
        </w:rPr>
      </w:pPr>
      <w:r>
        <w:rPr>
          <w:rFonts w:ascii="Times New Roman" w:eastAsia="宋体" w:hAnsi="Times New Roman" w:cs="Times New Roman" w:hint="eastAsia"/>
          <w:position w:val="-24"/>
          <w:sz w:val="20"/>
          <w:szCs w:val="20"/>
        </w:rPr>
        <w:object w:dxaOrig="2537" w:dyaOrig="631" w14:anchorId="31B7BD76">
          <v:shape id="_x0000_i1061" type="#_x0000_t75" style="width:126.85pt;height:31.55pt" o:ole="">
            <v:imagedata r:id="rId61" o:title=""/>
          </v:shape>
          <o:OLEObject Type="Embed" ProgID="Equation.KSEE3" ShapeID="_x0000_i1061" DrawAspect="Content" ObjectID="_1694606351" r:id="rId62"/>
        </w:object>
      </w:r>
      <w:r>
        <w:rPr>
          <w:rFonts w:ascii="Times New Roman" w:hAnsi="Times New Roman" w:hint="eastAsia"/>
          <w:i/>
          <w:iCs/>
          <w:sz w:val="20"/>
          <w:szCs w:val="20"/>
        </w:rPr>
        <w:t>,</w:t>
      </w:r>
    </w:p>
    <w:p w:rsidR="00A64259" w:rsidRDefault="002B731B">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hAnsi="Times New Roman" w:hint="eastAsia"/>
          <w:i/>
          <w:iCs/>
          <w:sz w:val="20"/>
          <w:szCs w:val="20"/>
        </w:rPr>
        <w:t xml:space="preserve">where </w:t>
      </w:r>
      <w:r>
        <w:rPr>
          <w:rFonts w:ascii="Times New Roman" w:eastAsia="宋体" w:hAnsi="Times New Roman" w:cs="Times New Roman" w:hint="eastAsia"/>
          <w:position w:val="-10"/>
          <w:sz w:val="20"/>
          <w:szCs w:val="20"/>
        </w:rPr>
        <w:object w:dxaOrig="277" w:dyaOrig="343" w14:anchorId="1EF83B03">
          <v:shape id="_x0000_i1062" type="#_x0000_t75" style="width:13.85pt;height:17.15pt" o:ole="">
            <v:imagedata r:id="rId63" o:title=""/>
          </v:shape>
          <o:OLEObject Type="Embed" ProgID="Equation.KSEE3" ShapeID="_x0000_i1062" DrawAspect="Content" ObjectID="_1694606352" r:id="rId64"/>
        </w:object>
      </w:r>
      <w:r>
        <w:rPr>
          <w:rFonts w:ascii="Times New Roman" w:eastAsia="宋体" w:hAnsi="Times New Roman" w:cs="Times New Roman" w:hint="eastAsia"/>
          <w:position w:val="-14"/>
          <w:sz w:val="20"/>
          <w:szCs w:val="20"/>
        </w:rPr>
        <w:t xml:space="preserve"> </w:t>
      </w:r>
      <w:r>
        <w:rPr>
          <w:rFonts w:ascii="Times New Roman" w:hAnsi="Times New Roman" w:hint="eastAsia"/>
          <w:i/>
          <w:iCs/>
          <w:sz w:val="20"/>
          <w:szCs w:val="20"/>
        </w:rPr>
        <w:t xml:space="preserve">is the TAC filed in msg2/msgB and </w:t>
      </w:r>
      <w:r>
        <w:rPr>
          <w:rFonts w:ascii="Times New Roman" w:eastAsia="宋体" w:hAnsi="Times New Roman" w:cs="Times New Roman" w:hint="eastAsia"/>
          <w:position w:val="-14"/>
          <w:sz w:val="20"/>
          <w:szCs w:val="20"/>
        </w:rPr>
        <w:object w:dxaOrig="1097" w:dyaOrig="377" w14:anchorId="314B62C2">
          <v:shape id="_x0000_i1063" type="#_x0000_t75" style="width:55.4pt;height:18.85pt" o:ole="">
            <v:imagedata r:id="rId65" o:title=""/>
          </v:shape>
          <o:OLEObject Type="Embed" ProgID="Equation.KSEE3" ShapeID="_x0000_i1063" DrawAspect="Content" ObjectID="_1694606353" r:id="rId66"/>
        </w:object>
      </w:r>
      <w:r>
        <w:rPr>
          <w:rFonts w:ascii="Times New Roman" w:hAnsi="Times New Roman" w:hint="eastAsia"/>
          <w:i/>
          <w:iCs/>
          <w:sz w:val="20"/>
          <w:szCs w:val="20"/>
        </w:rPr>
        <w:t>.</w:t>
      </w:r>
    </w:p>
    <w:p w:rsidR="00A64259" w:rsidRDefault="002B731B">
      <w:pPr>
        <w:pStyle w:val="2"/>
        <w:numPr>
          <w:ilvl w:val="2"/>
          <w:numId w:val="9"/>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updates with </w:t>
      </w:r>
      <w:r>
        <w:rPr>
          <w:rFonts w:ascii="Times New Roman" w:eastAsia="宋体" w:hAnsi="Times New Roman" w:cs="Times New Roman" w:hint="eastAsia"/>
          <w:position w:val="-14"/>
          <w:sz w:val="20"/>
          <w:szCs w:val="20"/>
        </w:rPr>
        <w:object w:dxaOrig="1185" w:dyaOrig="377" w14:anchorId="1D02FA84">
          <v:shape id="_x0000_i1064" type="#_x0000_t75" style="width:59.25pt;height:18.85pt" o:ole="">
            <v:imagedata r:id="rId51" o:title=""/>
          </v:shape>
          <o:OLEObject Type="Embed" ProgID="Equation.KSEE3" ShapeID="_x0000_i1064" DrawAspect="Content" ObjectID="_1694606354" r:id="rId67"/>
        </w:objec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1185" w:dyaOrig="377" w14:anchorId="3EE3A1B9">
          <v:shape id="_x0000_i1065" type="#_x0000_t75" style="width:59.25pt;height:18.85pt" o:ole="">
            <v:imagedata r:id="rId51" o:title=""/>
          </v:shape>
          <o:OLEObject Type="Embed" ProgID="Equation.KSEE3" ShapeID="_x0000_i1065" DrawAspect="Content" ObjectID="_1694606355" r:id="rId68"/>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is service link TA</w:t>
      </w:r>
      <w:r>
        <w:rPr>
          <w:rFonts w:ascii="Times New Roman" w:eastAsia="宋体" w:hAnsi="Times New Roman" w:cs="Times New Roman"/>
          <w:sz w:val="20"/>
          <w:szCs w:val="20"/>
        </w:rPr>
        <w:t xml:space="preserve">, which </w:t>
      </w:r>
      <w:r>
        <w:rPr>
          <w:rFonts w:ascii="Times New Roman" w:eastAsia="宋体" w:hAnsi="Times New Roman" w:cs="Times New Roman" w:hint="eastAsia"/>
          <w:sz w:val="20"/>
          <w:szCs w:val="20"/>
        </w:rPr>
        <w:t>is open</w:t>
      </w:r>
      <w:r>
        <w:rPr>
          <w:rFonts w:ascii="Times New Roman" w:eastAsia="宋体" w:hAnsi="Times New Roman" w:cs="Times New Roman"/>
          <w:sz w:val="20"/>
          <w:szCs w:val="20"/>
        </w:rPr>
        <w:t>-</w:t>
      </w:r>
      <w:r>
        <w:rPr>
          <w:rFonts w:ascii="Times New Roman" w:eastAsia="宋体" w:hAnsi="Times New Roman" w:cs="Times New Roman" w:hint="eastAsia"/>
          <w:sz w:val="20"/>
          <w:szCs w:val="20"/>
        </w:rPr>
        <w:t>loop controlled by UE based on GNSS information of UE and ephemeris information of satellite indicated from BS</w:t>
      </w:r>
      <w:r>
        <w:rPr>
          <w:rFonts w:ascii="Times New Roman" w:eastAsia="宋体" w:hAnsi="Times New Roman" w:cs="Times New Roman"/>
          <w:sz w:val="20"/>
          <w:szCs w:val="20"/>
        </w:rPr>
        <w:t xml:space="preserve"> via implementation. In previous agreement, it has already agreed that the propagator at UE side is up to implementation and no need to further restrict the UE’s behavior including differentiate the impacts of </w:t>
      </w:r>
      <w:r>
        <w:rPr>
          <w:rFonts w:ascii="Times New Roman" w:eastAsia="宋体" w:hAnsi="Times New Roman" w:cs="Times New Roman" w:hint="eastAsia"/>
          <w:sz w:val="20"/>
          <w:szCs w:val="20"/>
        </w:rPr>
        <w:t>DL and UL service link delay</w:t>
      </w:r>
      <w:r>
        <w:rPr>
          <w:rFonts w:ascii="Times New Roman" w:eastAsia="宋体" w:hAnsi="Times New Roman" w:cs="Times New Roman"/>
          <w:sz w:val="20"/>
          <w:szCs w:val="20"/>
        </w:rPr>
        <w:t xml:space="preserve"> during the calculation of </w:t>
      </w:r>
      <w:r>
        <w:rPr>
          <w:rFonts w:ascii="Times New Roman" w:eastAsia="宋体" w:hAnsi="Times New Roman" w:cs="Times New Roman" w:hint="eastAsia"/>
          <w:position w:val="-14"/>
          <w:sz w:val="20"/>
          <w:szCs w:val="20"/>
        </w:rPr>
        <w:object w:dxaOrig="1185" w:dyaOrig="377" w14:anchorId="65C6B1E7">
          <v:shape id="_x0000_i1066" type="#_x0000_t75" style="width:59.25pt;height:18.85pt" o:ole="">
            <v:imagedata r:id="rId51" o:title=""/>
          </v:shape>
          <o:OLEObject Type="Embed" ProgID="Equation.KSEE3" ShapeID="_x0000_i1066" DrawAspect="Content" ObjectID="_1694606356" r:id="rId69"/>
        </w:object>
      </w:r>
      <w:r>
        <w:rPr>
          <w:rFonts w:ascii="Times New Roman" w:eastAsia="宋体" w:hAnsi="Times New Roman" w:cs="Times New Roman"/>
          <w:sz w:val="20"/>
          <w:szCs w:val="20"/>
        </w:rPr>
        <w:t xml:space="preserve">. </w:t>
      </w:r>
    </w:p>
    <w:p w:rsidR="00A64259" w:rsidRDefault="002B731B">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hint="eastAsia"/>
          <w:bCs/>
          <w:i/>
          <w:sz w:val="20"/>
          <w:szCs w:val="20"/>
        </w:rPr>
        <w:t xml:space="preserve">In RRC_CONNECTED state in NR NTN, </w:t>
      </w:r>
      <w:r>
        <w:rPr>
          <w:rFonts w:ascii="Times New Roman" w:eastAsia="宋体" w:hAnsi="Times New Roman" w:cs="Times New Roman" w:hint="eastAsia"/>
          <w:position w:val="-14"/>
          <w:sz w:val="20"/>
          <w:szCs w:val="20"/>
        </w:rPr>
        <w:object w:dxaOrig="1185" w:dyaOrig="377" w14:anchorId="404D8F33">
          <v:shape id="_x0000_i1067" type="#_x0000_t75" style="width:59.25pt;height:18.85pt" o:ole="">
            <v:imagedata r:id="rId51" o:title=""/>
          </v:shape>
          <o:OLEObject Type="Embed" ProgID="Equation.KSEE3" ShapeID="_x0000_i1067" DrawAspect="Content" ObjectID="_1694606357" r:id="rId70"/>
        </w:object>
      </w:r>
      <w:r>
        <w:rPr>
          <w:rFonts w:ascii="Times New Roman" w:eastAsia="宋体" w:hAnsi="Times New Roman" w:hint="eastAsia"/>
          <w:bCs/>
          <w:i/>
          <w:sz w:val="20"/>
          <w:szCs w:val="20"/>
        </w:rPr>
        <w:t xml:space="preserve"> is updated autonomously by the UE based on its GNSS acquired position and satellite ephemeris via implementation.</w:t>
      </w:r>
    </w:p>
    <w:p w:rsidR="00A64259" w:rsidRDefault="002B731B">
      <w:pPr>
        <w:pStyle w:val="2"/>
        <w:numPr>
          <w:ilvl w:val="2"/>
          <w:numId w:val="9"/>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updates with </w:t>
      </w:r>
      <w:r>
        <w:rPr>
          <w:rFonts w:ascii="Times New Roman" w:eastAsia="宋体" w:hAnsi="Times New Roman" w:cs="Times New Roman" w:hint="eastAsia"/>
          <w:position w:val="-14"/>
          <w:sz w:val="20"/>
          <w:szCs w:val="20"/>
        </w:rPr>
        <w:object w:dxaOrig="942" w:dyaOrig="377" w14:anchorId="77986BF3">
          <v:shape id="_x0000_i1068" type="#_x0000_t75" style="width:47.1pt;height:18.85pt" o:ole="">
            <v:imagedata r:id="rId53" o:title=""/>
          </v:shape>
          <o:OLEObject Type="Embed" ProgID="Equation.KSEE3" ShapeID="_x0000_i1068" DrawAspect="Content" ObjectID="_1694606358" r:id="rId71"/>
        </w:objec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942" w:dyaOrig="377" w14:anchorId="11727B58">
          <v:shape id="_x0000_i1069" type="#_x0000_t75" style="width:47.1pt;height:18.85pt" o:ole="">
            <v:imagedata r:id="rId53" o:title=""/>
          </v:shape>
          <o:OLEObject Type="Embed" ProgID="Equation.KSEE3" ShapeID="_x0000_i1069" DrawAspect="Content" ObjectID="_1694606359" r:id="rId72"/>
        </w:object>
      </w:r>
      <w:r>
        <w:rPr>
          <w:rFonts w:ascii="Times New Roman" w:eastAsia="宋体" w:hAnsi="Times New Roman" w:cs="Times New Roman" w:hint="eastAsia"/>
          <w:sz w:val="20"/>
          <w:szCs w:val="20"/>
        </w:rPr>
        <w:t xml:space="preserve"> is common TA indicated from BS and can be open loop adjusted based on common TA drift rate. It</w:t>
      </w:r>
      <w:r>
        <w:rPr>
          <w:rFonts w:ascii="Times New Roman" w:eastAsia="宋体" w:hAnsi="Times New Roman" w:cs="Times New Roman"/>
          <w:sz w:val="20"/>
          <w:szCs w:val="20"/>
        </w:rPr>
        <w:t xml:space="preserve"> should be noticed that </w:t>
      </w:r>
      <w:r>
        <w:rPr>
          <w:rFonts w:ascii="Times New Roman" w:eastAsia="宋体" w:hAnsi="Times New Roman" w:cs="Times New Roman" w:hint="eastAsia"/>
          <w:sz w:val="20"/>
          <w:szCs w:val="20"/>
        </w:rPr>
        <w:t xml:space="preserve">in the calculation of common TA, the offset between receiving DL scheduling signal and transmitting UL data should be considered. </w:t>
      </w:r>
      <w:r>
        <w:rPr>
          <w:rFonts w:ascii="Times New Roman" w:eastAsia="宋体" w:hAnsi="Times New Roman" w:cs="Times New Roman"/>
          <w:sz w:val="20"/>
          <w:szCs w:val="20"/>
        </w:rPr>
        <w:t xml:space="preserve">As the </w:t>
      </w:r>
      <w:r>
        <w:rPr>
          <w:rFonts w:ascii="Times New Roman" w:eastAsia="宋体" w:hAnsi="Times New Roman" w:cs="Times New Roman" w:hint="eastAsia"/>
          <w:sz w:val="20"/>
          <w:szCs w:val="20"/>
        </w:rPr>
        <w:t xml:space="preserve">example of the timeline for the usage of parameters for </w:t>
      </w:r>
      <w:r>
        <w:rPr>
          <w:rFonts w:ascii="Times New Roman" w:eastAsia="宋体" w:hAnsi="Times New Roman" w:cs="Times New Roman" w:hint="eastAsia"/>
          <w:sz w:val="20"/>
          <w:szCs w:val="20"/>
        </w:rPr>
        <w:lastRenderedPageBreak/>
        <w:t xml:space="preserve">TA maintenance are shown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_Ref83729857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6A3186">
        <w:rPr>
          <w:rFonts w:ascii="Times New Roman" w:eastAsia="宋体" w:hAnsi="Times New Roman" w:cs="Times New Roman"/>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b</w:t>
      </w:r>
      <w:r>
        <w:rPr>
          <w:rFonts w:ascii="Times New Roman" w:eastAsia="宋体" w:hAnsi="Times New Roman" w:cs="Times New Roman" w:hint="eastAsia"/>
          <w:sz w:val="20"/>
          <w:szCs w:val="20"/>
        </w:rPr>
        <w:t>efore receiving DL signal, the DL delay and UL delay both change so that the full common TA drift rate should be counted. While after receiving DL signal and before transmitting UL signal, only the UL delay will change so that half of the common TA drift rate should be counted.</w:t>
      </w:r>
    </w:p>
    <w:p w:rsidR="00A64259" w:rsidRDefault="002B731B" w:rsidP="006A3186">
      <w:pPr>
        <w:keepNext/>
        <w:spacing w:after="120"/>
        <w:ind w:leftChars="200" w:left="440"/>
        <w:jc w:val="center"/>
      </w:pPr>
      <w:r>
        <w:rPr>
          <w:noProof/>
        </w:rPr>
        <w:drawing>
          <wp:inline distT="0" distB="0" distL="114300" distR="114300">
            <wp:extent cx="5716270" cy="1544320"/>
            <wp:effectExtent l="0" t="0" r="17780" b="17780"/>
            <wp:docPr id="3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8"/>
                    <pic:cNvPicPr>
                      <a:picLocks noChangeAspect="1"/>
                    </pic:cNvPicPr>
                  </pic:nvPicPr>
                  <pic:blipFill>
                    <a:blip r:embed="rId73"/>
                    <a:stretch>
                      <a:fillRect/>
                    </a:stretch>
                  </pic:blipFill>
                  <pic:spPr>
                    <a:xfrm>
                      <a:off x="0" y="0"/>
                      <a:ext cx="5716270" cy="1544320"/>
                    </a:xfrm>
                    <a:prstGeom prst="rect">
                      <a:avLst/>
                    </a:prstGeom>
                    <a:noFill/>
                    <a:ln>
                      <a:noFill/>
                    </a:ln>
                  </pic:spPr>
                </pic:pic>
              </a:graphicData>
            </a:graphic>
          </wp:inline>
        </w:drawing>
      </w:r>
    </w:p>
    <w:p w:rsidR="00A64259" w:rsidRPr="006A3186" w:rsidRDefault="002B731B" w:rsidP="006A3186">
      <w:pPr>
        <w:pStyle w:val="a3"/>
        <w:rPr>
          <w:b w:val="0"/>
        </w:rPr>
      </w:pPr>
      <w:bookmarkStart w:id="13" w:name="_Ref83729857"/>
      <w:r w:rsidRPr="006A3186">
        <w:rPr>
          <w:b w:val="0"/>
        </w:rPr>
        <w:t xml:space="preserve">Figure </w:t>
      </w:r>
      <w:r w:rsidRPr="006A3186">
        <w:rPr>
          <w:b w:val="0"/>
        </w:rPr>
        <w:fldChar w:fldCharType="begin"/>
      </w:r>
      <w:r w:rsidRPr="006A3186">
        <w:rPr>
          <w:b w:val="0"/>
        </w:rPr>
        <w:instrText xml:space="preserve"> SEQ Figure \* ARABIC </w:instrText>
      </w:r>
      <w:r w:rsidRPr="006A3186">
        <w:rPr>
          <w:b w:val="0"/>
        </w:rPr>
        <w:fldChar w:fldCharType="separate"/>
      </w:r>
      <w:r w:rsidRPr="006A3186">
        <w:rPr>
          <w:b w:val="0"/>
        </w:rPr>
        <w:t>3</w:t>
      </w:r>
      <w:r w:rsidRPr="006A3186">
        <w:rPr>
          <w:b w:val="0"/>
        </w:rPr>
        <w:fldChar w:fldCharType="end"/>
      </w:r>
      <w:bookmarkEnd w:id="13"/>
      <w:r w:rsidRPr="006A3186">
        <w:rPr>
          <w:b w:val="0"/>
        </w:rPr>
        <w:t xml:space="preserve"> </w:t>
      </w:r>
      <w:r>
        <w:rPr>
          <w:rFonts w:hint="eastAsia"/>
          <w:b w:val="0"/>
          <w:bCs w:val="0"/>
          <w:lang w:val="en-US"/>
        </w:rPr>
        <w:t xml:space="preserve">Timeline for usage of indicated parameters </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With this consideration, </w:t>
      </w:r>
      <w:r>
        <w:rPr>
          <w:rFonts w:ascii="Times New Roman" w:eastAsia="宋体" w:hAnsi="Times New Roman" w:cs="Times New Roman" w:hint="eastAsia"/>
          <w:position w:val="-14"/>
          <w:sz w:val="20"/>
          <w:szCs w:val="20"/>
        </w:rPr>
        <w:object w:dxaOrig="942" w:dyaOrig="377" w14:anchorId="06B0B71E">
          <v:shape id="_x0000_i1070" type="#_x0000_t75" style="width:47.1pt;height:18.85pt" o:ole="">
            <v:imagedata r:id="rId53" o:title=""/>
          </v:shape>
          <o:OLEObject Type="Embed" ProgID="Equation.KSEE3" ShapeID="_x0000_i1070" DrawAspect="Content" ObjectID="_1694606360" r:id="rId74"/>
        </w:object>
      </w:r>
      <w:r>
        <w:rPr>
          <w:rFonts w:ascii="Times New Roman" w:eastAsia="宋体" w:hAnsi="Times New Roman" w:cs="Times New Roman" w:hint="eastAsia"/>
          <w:position w:val="-14"/>
          <w:sz w:val="20"/>
          <w:szCs w:val="20"/>
        </w:rPr>
        <w:t xml:space="preserve"> </w:t>
      </w:r>
      <w:r>
        <w:rPr>
          <w:rFonts w:ascii="Times New Roman" w:eastAsia="宋体" w:hAnsi="Times New Roman" w:cs="Times New Roman" w:hint="eastAsia"/>
          <w:sz w:val="20"/>
          <w:szCs w:val="20"/>
        </w:rPr>
        <w:t>can be estimated</w:t>
      </w:r>
      <w:r>
        <w:rPr>
          <w:rFonts w:ascii="Times New Roman" w:eastAsia="宋体" w:hAnsi="Times New Roman" w:cs="Times New Roman"/>
          <w:sz w:val="20"/>
          <w:szCs w:val="20"/>
        </w:rPr>
        <w:t xml:space="preserve"> as following if the 2</w:t>
      </w:r>
      <w:r>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order drift is supported</w:t>
      </w:r>
      <w:r>
        <w:rPr>
          <w:rFonts w:ascii="Times New Roman" w:eastAsia="宋体" w:hAnsi="Times New Roman" w:cs="Times New Roman" w:hint="eastAsia"/>
          <w:sz w:val="20"/>
          <w:szCs w:val="20"/>
        </w:rPr>
        <w:t>:</w:t>
      </w:r>
    </w:p>
    <w:p w:rsidR="00A64259" w:rsidRDefault="002B731B">
      <w:p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position w:val="-58"/>
          <w:sz w:val="20"/>
          <w:szCs w:val="20"/>
        </w:rPr>
        <w:object w:dxaOrig="6846" w:dyaOrig="1263" w14:anchorId="1627CEA6">
          <v:shape id="_x0000_i1071" type="#_x0000_t75" style="width:342.3pt;height:63.15pt" o:ole="">
            <v:imagedata r:id="rId75" o:title=""/>
          </v:shape>
          <o:OLEObject Type="Embed" ProgID="Equation.KSEE3" ShapeID="_x0000_i1071" DrawAspect="Content" ObjectID="_1694606361" r:id="rId76"/>
        </w:objec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where </w:t>
      </w:r>
      <w:r>
        <w:rPr>
          <w:rFonts w:ascii="Times New Roman" w:eastAsia="宋体" w:hAnsi="Times New Roman" w:cs="Times New Roman" w:hint="eastAsia"/>
          <w:position w:val="-14"/>
          <w:sz w:val="20"/>
          <w:szCs w:val="20"/>
        </w:rPr>
        <w:object w:dxaOrig="1119" w:dyaOrig="377" w14:anchorId="7576163B">
          <v:shape id="_x0000_i1072" type="#_x0000_t75" style="width:55.95pt;height:18.85pt" o:ole="">
            <v:imagedata r:id="rId77" o:title=""/>
          </v:shape>
          <o:OLEObject Type="Embed" ProgID="Equation.KSEE3" ShapeID="_x0000_i1072" DrawAspect="Content" ObjectID="_1694606362" r:id="rId78"/>
        </w:object>
      </w:r>
      <w:r>
        <w:rPr>
          <w:rFonts w:ascii="Times New Roman" w:eastAsia="宋体" w:hAnsi="Times New Roman" w:cs="Times New Roman" w:hint="eastAsia"/>
          <w:sz w:val="20"/>
          <w:szCs w:val="20"/>
        </w:rPr>
        <w:t xml:space="preserve"> is the broadcast common TA, </w:t>
      </w:r>
      <w:r>
        <w:rPr>
          <w:rFonts w:ascii="Times New Roman" w:eastAsia="宋体" w:hAnsi="Times New Roman" w:cs="Times New Roman" w:hint="eastAsia"/>
          <w:position w:val="-14"/>
          <w:sz w:val="20"/>
          <w:szCs w:val="20"/>
        </w:rPr>
        <w:object w:dxaOrig="1340" w:dyaOrig="377" w14:anchorId="0AF2DA80">
          <v:shape id="_x0000_i1073" type="#_x0000_t75" style="width:67pt;height:18.85pt" o:ole="">
            <v:imagedata r:id="rId79" o:title=""/>
          </v:shape>
          <o:OLEObject Type="Embed" ProgID="Equation.KSEE3" ShapeID="_x0000_i1073" DrawAspect="Content" ObjectID="_1694606363" r:id="rId80"/>
        </w:object>
      </w:r>
      <w:r>
        <w:rPr>
          <w:rFonts w:ascii="Times New Roman" w:eastAsia="宋体" w:hAnsi="Times New Roman" w:cs="Times New Roman" w:hint="eastAsia"/>
          <w:sz w:val="20"/>
          <w:szCs w:val="20"/>
        </w:rPr>
        <w:t xml:space="preserve"> and </w:t>
      </w:r>
      <w:r>
        <w:rPr>
          <w:rFonts w:ascii="Times New Roman" w:eastAsia="宋体" w:hAnsi="Times New Roman" w:cs="Times New Roman" w:hint="eastAsia"/>
          <w:position w:val="-14"/>
          <w:sz w:val="20"/>
          <w:szCs w:val="20"/>
        </w:rPr>
        <w:object w:dxaOrig="1351" w:dyaOrig="377" w14:anchorId="30239CA8">
          <v:shape id="_x0000_i1074" type="#_x0000_t75" style="width:67.55pt;height:18.85pt" o:ole="">
            <v:imagedata r:id="rId81" o:title=""/>
          </v:shape>
          <o:OLEObject Type="Embed" ProgID="Equation.KSEE3" ShapeID="_x0000_i1074" DrawAspect="Content" ObjectID="_1694606364" r:id="rId82"/>
        </w:object>
      </w:r>
      <w:r>
        <w:rPr>
          <w:rFonts w:ascii="Times New Roman" w:eastAsia="宋体" w:hAnsi="Times New Roman" w:cs="Times New Roman" w:hint="eastAsia"/>
          <w:sz w:val="20"/>
          <w:szCs w:val="20"/>
        </w:rPr>
        <w:t xml:space="preserve"> are the first and second order common TA drift rate indicated by BS, </w:t>
      </w:r>
      <w:r>
        <w:rPr>
          <w:rFonts w:ascii="Times New Roman" w:eastAsia="宋体" w:hAnsi="Times New Roman" w:cs="Times New Roman" w:hint="eastAsia"/>
          <w:position w:val="-10"/>
          <w:sz w:val="20"/>
          <w:szCs w:val="20"/>
        </w:rPr>
        <w:object w:dxaOrig="343" w:dyaOrig="343" w14:anchorId="1712004F">
          <v:shape id="_x0000_i1075" type="#_x0000_t75" style="width:17.15pt;height:17.15pt" o:ole="">
            <v:imagedata r:id="rId83" o:title=""/>
          </v:shape>
          <o:OLEObject Type="Embed" ProgID="Equation.KSEE3" ShapeID="_x0000_i1075" DrawAspect="Content" ObjectID="_1694606365" r:id="rId84"/>
        </w:object>
      </w:r>
      <w:r>
        <w:rPr>
          <w:rFonts w:ascii="Times New Roman" w:eastAsia="宋体" w:hAnsi="Times New Roman" w:cs="Times New Roman" w:hint="eastAsia"/>
          <w:position w:val="-6"/>
          <w:sz w:val="20"/>
          <w:szCs w:val="20"/>
        </w:rPr>
        <w:t xml:space="preserve"> </w:t>
      </w:r>
      <w:r>
        <w:rPr>
          <w:rFonts w:ascii="Times New Roman" w:eastAsia="宋体" w:hAnsi="Times New Roman" w:cs="Times New Roman" w:hint="eastAsia"/>
          <w:sz w:val="20"/>
          <w:szCs w:val="20"/>
        </w:rPr>
        <w:t xml:space="preserve">is the interval between activation time and DL transmission time of scheduling information, and </w:t>
      </w:r>
      <w:r>
        <w:rPr>
          <w:rFonts w:ascii="Times New Roman" w:eastAsia="宋体" w:hAnsi="Times New Roman" w:cs="Times New Roman" w:hint="eastAsia"/>
          <w:position w:val="-10"/>
          <w:sz w:val="20"/>
          <w:szCs w:val="20"/>
        </w:rPr>
        <w:object w:dxaOrig="377" w:dyaOrig="343" w14:anchorId="6CDE3DFD">
          <v:shape id="_x0000_i1076" type="#_x0000_t75" style="width:18.85pt;height:17.15pt" o:ole="">
            <v:imagedata r:id="rId85" o:title=""/>
          </v:shape>
          <o:OLEObject Type="Embed" ProgID="Equation.KSEE3" ShapeID="_x0000_i1076" DrawAspect="Content" ObjectID="_1694606366" r:id="rId86"/>
        </w:object>
      </w:r>
      <w:r>
        <w:rPr>
          <w:rFonts w:ascii="Times New Roman" w:eastAsia="宋体" w:hAnsi="Times New Roman" w:cs="Times New Roman" w:hint="eastAsia"/>
          <w:sz w:val="20"/>
          <w:szCs w:val="20"/>
        </w:rPr>
        <w:t xml:space="preserve"> is the interval between DL transmission time of scheduling information and UL transmission time. </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bCs/>
          <w:i/>
          <w:sz w:val="20"/>
          <w:szCs w:val="20"/>
        </w:rPr>
        <w:t xml:space="preserve">In RRC_CONNECTED state in NR NTN, </w:t>
      </w:r>
      <w:r>
        <w:rPr>
          <w:rFonts w:ascii="Times New Roman" w:eastAsia="宋体" w:hAnsi="Times New Roman" w:cs="Times New Roman" w:hint="eastAsia"/>
          <w:position w:val="-14"/>
          <w:sz w:val="20"/>
          <w:szCs w:val="20"/>
        </w:rPr>
        <w:object w:dxaOrig="942" w:dyaOrig="377" w14:anchorId="086C12F6">
          <v:shape id="_x0000_i1077" type="#_x0000_t75" style="width:47.1pt;height:18.85pt" o:ole="">
            <v:imagedata r:id="rId53" o:title=""/>
          </v:shape>
          <o:OLEObject Type="Embed" ProgID="Equation.KSEE3" ShapeID="_x0000_i1077" DrawAspect="Content" ObjectID="_1694606367" r:id="rId87"/>
        </w:object>
      </w:r>
      <w:r>
        <w:rPr>
          <w:rFonts w:ascii="Times New Roman" w:eastAsia="宋体" w:hAnsi="Times New Roman" w:hint="eastAsia"/>
          <w:bCs/>
          <w:i/>
          <w:sz w:val="20"/>
          <w:szCs w:val="20"/>
        </w:rPr>
        <w:t xml:space="preserve"> is updated autonomously by the UE based on the parameters acquired from SIB as follows:</w:t>
      </w:r>
    </w:p>
    <w:p w:rsidR="00A64259" w:rsidRDefault="002B731B">
      <w:pPr>
        <w:spacing w:beforeLines="50" w:before="120" w:afterLines="50" w:after="120" w:line="240" w:lineRule="auto"/>
        <w:ind w:left="420"/>
        <w:jc w:val="center"/>
        <w:rPr>
          <w:rFonts w:ascii="Times New Roman" w:eastAsia="宋体" w:hAnsi="Times New Roman"/>
          <w:bCs/>
          <w:i/>
          <w:sz w:val="20"/>
          <w:szCs w:val="20"/>
        </w:rPr>
      </w:pPr>
      <w:r>
        <w:rPr>
          <w:rFonts w:ascii="Times New Roman" w:eastAsia="宋体" w:hAnsi="Times New Roman" w:cs="Times New Roman" w:hint="eastAsia"/>
          <w:position w:val="-58"/>
          <w:sz w:val="20"/>
          <w:szCs w:val="20"/>
        </w:rPr>
        <w:object w:dxaOrig="6846" w:dyaOrig="1263" w14:anchorId="65BBEC06">
          <v:shape id="_x0000_i1078" type="#_x0000_t75" style="width:342.3pt;height:63.15pt" o:ole="">
            <v:imagedata r:id="rId75" o:title=""/>
          </v:shape>
          <o:OLEObject Type="Embed" ProgID="Equation.KSEE3" ShapeID="_x0000_i1078" DrawAspect="Content" ObjectID="_1694606368" r:id="rId88"/>
        </w:object>
      </w:r>
      <w:r>
        <w:rPr>
          <w:rFonts w:ascii="Times New Roman" w:eastAsia="宋体" w:hAnsi="Times New Roman" w:hint="eastAsia"/>
          <w:bCs/>
          <w:i/>
          <w:sz w:val="20"/>
          <w:szCs w:val="20"/>
        </w:rPr>
        <w:t>,</w:t>
      </w:r>
    </w:p>
    <w:p w:rsidR="00A64259" w:rsidRDefault="002B731B">
      <w:pPr>
        <w:pStyle w:val="ad"/>
        <w:numPr>
          <w:ilvl w:val="3"/>
          <w:numId w:val="0"/>
        </w:numPr>
        <w:spacing w:after="0" w:line="240" w:lineRule="auto"/>
        <w:ind w:leftChars="200" w:left="440"/>
        <w:rPr>
          <w:rFonts w:ascii="Times New Roman" w:eastAsia="宋体" w:hAnsi="Times New Roman" w:cs="Times New Roman"/>
          <w:i/>
          <w:iCs/>
          <w:sz w:val="20"/>
          <w:szCs w:val="20"/>
        </w:rPr>
      </w:pPr>
      <w:r>
        <w:rPr>
          <w:rFonts w:ascii="Times New Roman" w:eastAsia="宋体" w:hAnsi="Times New Roman" w:hint="eastAsia"/>
          <w:bCs/>
          <w:i/>
          <w:sz w:val="20"/>
          <w:szCs w:val="20"/>
        </w:rPr>
        <w:t xml:space="preserve">where </w:t>
      </w:r>
      <w:r>
        <w:rPr>
          <w:rFonts w:ascii="Times New Roman" w:eastAsia="宋体" w:hAnsi="Times New Roman" w:cs="Times New Roman" w:hint="eastAsia"/>
          <w:position w:val="-14"/>
          <w:sz w:val="20"/>
          <w:szCs w:val="20"/>
        </w:rPr>
        <w:object w:dxaOrig="1119" w:dyaOrig="377" w14:anchorId="50A70E1A">
          <v:shape id="_x0000_i1079" type="#_x0000_t75" style="width:55.95pt;height:18.85pt" o:ole="">
            <v:imagedata r:id="rId77" o:title=""/>
          </v:shape>
          <o:OLEObject Type="Embed" ProgID="Equation.KSEE3" ShapeID="_x0000_i1079" DrawAspect="Content" ObjectID="_1694606369" r:id="rId89"/>
        </w:object>
      </w:r>
      <w:r>
        <w:rPr>
          <w:rFonts w:ascii="Times New Roman" w:eastAsia="宋体" w:hAnsi="Times New Roman" w:cs="Times New Roman" w:hint="eastAsia"/>
          <w:sz w:val="20"/>
          <w:szCs w:val="20"/>
        </w:rPr>
        <w:t xml:space="preserve"> </w:t>
      </w:r>
      <w:r>
        <w:rPr>
          <w:rFonts w:ascii="Times New Roman" w:eastAsia="宋体" w:hAnsi="Times New Roman" w:cs="Times New Roman"/>
          <w:i/>
          <w:iCs/>
          <w:sz w:val="20"/>
          <w:szCs w:val="20"/>
        </w:rPr>
        <w:t xml:space="preserve">is the broadcast common TA, </w:t>
      </w:r>
      <w:r>
        <w:rPr>
          <w:rFonts w:ascii="Times New Roman" w:eastAsia="宋体" w:hAnsi="Times New Roman" w:cs="Times New Roman" w:hint="eastAsia"/>
          <w:i/>
          <w:iCs/>
          <w:position w:val="-14"/>
          <w:sz w:val="20"/>
          <w:szCs w:val="20"/>
        </w:rPr>
        <w:object w:dxaOrig="1340" w:dyaOrig="377" w14:anchorId="349D6571">
          <v:shape id="_x0000_i1080" type="#_x0000_t75" style="width:67pt;height:18.85pt" o:ole="">
            <v:imagedata r:id="rId79" o:title=""/>
          </v:shape>
          <o:OLEObject Type="Embed" ProgID="Equation.KSEE3" ShapeID="_x0000_i1080" DrawAspect="Content" ObjectID="_1694606370" r:id="rId90"/>
        </w:object>
      </w:r>
      <w:r>
        <w:rPr>
          <w:rFonts w:ascii="Times New Roman" w:eastAsia="宋体" w:hAnsi="Times New Roman" w:cs="Times New Roman" w:hint="eastAsia"/>
          <w:i/>
          <w:iCs/>
          <w:sz w:val="20"/>
          <w:szCs w:val="20"/>
        </w:rPr>
        <w:t xml:space="preserve"> and </w:t>
      </w:r>
      <w:r>
        <w:rPr>
          <w:rFonts w:ascii="Times New Roman" w:eastAsia="宋体" w:hAnsi="Times New Roman" w:cs="Times New Roman" w:hint="eastAsia"/>
          <w:i/>
          <w:iCs/>
          <w:position w:val="-14"/>
          <w:sz w:val="20"/>
          <w:szCs w:val="20"/>
        </w:rPr>
        <w:object w:dxaOrig="1351" w:dyaOrig="377" w14:anchorId="5219BA5A">
          <v:shape id="_x0000_i1081" type="#_x0000_t75" style="width:67.55pt;height:18.85pt" o:ole="">
            <v:imagedata r:id="rId81" o:title=""/>
          </v:shape>
          <o:OLEObject Type="Embed" ProgID="Equation.KSEE3" ShapeID="_x0000_i1081" DrawAspect="Content" ObjectID="_1694606371" r:id="rId91"/>
        </w:object>
      </w:r>
      <w:r>
        <w:rPr>
          <w:rFonts w:ascii="Times New Roman" w:eastAsia="宋体" w:hAnsi="Times New Roman" w:cs="Times New Roman" w:hint="eastAsia"/>
          <w:i/>
          <w:iCs/>
          <w:sz w:val="20"/>
          <w:szCs w:val="20"/>
        </w:rPr>
        <w:t xml:space="preserve"> are the first and second order common TA drift rate indicated by BS, </w:t>
      </w:r>
      <w:r>
        <w:rPr>
          <w:rFonts w:ascii="Times New Roman" w:eastAsia="宋体" w:hAnsi="Times New Roman" w:cs="Times New Roman" w:hint="eastAsia"/>
          <w:i/>
          <w:iCs/>
          <w:position w:val="-10"/>
          <w:sz w:val="20"/>
          <w:szCs w:val="20"/>
        </w:rPr>
        <w:object w:dxaOrig="343" w:dyaOrig="343" w14:anchorId="3A14F4EB">
          <v:shape id="_x0000_i1082" type="#_x0000_t75" style="width:17.15pt;height:17.15pt" o:ole="">
            <v:imagedata r:id="rId92" o:title=""/>
          </v:shape>
          <o:OLEObject Type="Embed" ProgID="Equation.KSEE3" ShapeID="_x0000_i1082" DrawAspect="Content" ObjectID="_1694606372" r:id="rId93"/>
        </w:object>
      </w:r>
      <w:r>
        <w:rPr>
          <w:rFonts w:ascii="Times New Roman" w:eastAsia="宋体" w:hAnsi="Times New Roman" w:cs="Times New Roman"/>
          <w:i/>
          <w:iCs/>
          <w:position w:val="-6"/>
          <w:sz w:val="20"/>
          <w:szCs w:val="20"/>
        </w:rPr>
        <w:t xml:space="preserve"> </w:t>
      </w:r>
      <w:r>
        <w:rPr>
          <w:rFonts w:ascii="Times New Roman" w:eastAsia="宋体" w:hAnsi="Times New Roman" w:cs="Times New Roman"/>
          <w:i/>
          <w:iCs/>
          <w:sz w:val="20"/>
          <w:szCs w:val="20"/>
        </w:rPr>
        <w:t xml:space="preserve">is the interval between activation time </w:t>
      </w:r>
      <w:r>
        <w:rPr>
          <w:rFonts w:ascii="Times New Roman" w:eastAsia="宋体" w:hAnsi="Times New Roman" w:cs="Times New Roman" w:hint="eastAsia"/>
          <w:i/>
          <w:iCs/>
          <w:sz w:val="20"/>
          <w:szCs w:val="20"/>
        </w:rPr>
        <w:t xml:space="preserve">of broadcast common TA </w:t>
      </w:r>
      <w:r>
        <w:rPr>
          <w:rFonts w:ascii="Times New Roman" w:eastAsia="宋体" w:hAnsi="Times New Roman" w:cs="Times New Roman"/>
          <w:i/>
          <w:iCs/>
          <w:sz w:val="20"/>
          <w:szCs w:val="20"/>
        </w:rPr>
        <w:t xml:space="preserve">and DL transmission time of scheduling information, and </w:t>
      </w:r>
      <w:r>
        <w:rPr>
          <w:rFonts w:ascii="Times New Roman" w:eastAsia="宋体" w:hAnsi="Times New Roman" w:cs="Times New Roman" w:hint="eastAsia"/>
          <w:i/>
          <w:iCs/>
          <w:position w:val="-10"/>
          <w:sz w:val="20"/>
          <w:szCs w:val="20"/>
        </w:rPr>
        <w:object w:dxaOrig="388" w:dyaOrig="343" w14:anchorId="3C87B19C">
          <v:shape id="_x0000_i1083" type="#_x0000_t75" style="width:19.4pt;height:17.15pt" o:ole="">
            <v:imagedata r:id="rId94" o:title=""/>
          </v:shape>
          <o:OLEObject Type="Embed" ProgID="Equation.KSEE3" ShapeID="_x0000_i1083" DrawAspect="Content" ObjectID="_1694606373" r:id="rId95"/>
        </w:object>
      </w:r>
      <w:r>
        <w:rPr>
          <w:rFonts w:ascii="Times New Roman" w:eastAsia="宋体" w:hAnsi="Times New Roman" w:cs="Times New Roman"/>
          <w:i/>
          <w:iCs/>
          <w:sz w:val="20"/>
          <w:szCs w:val="20"/>
        </w:rPr>
        <w:t xml:space="preserve"> is the interval between DL transmission time of scheduling information and UL transmission time</w:t>
      </w:r>
      <w:r>
        <w:rPr>
          <w:rFonts w:ascii="Times New Roman" w:eastAsia="宋体" w:hAnsi="Times New Roman" w:cs="Times New Roman" w:hint="eastAsia"/>
          <w:i/>
          <w:iCs/>
          <w:sz w:val="20"/>
          <w:szCs w:val="20"/>
        </w:rPr>
        <w:t>.</w:t>
      </w:r>
    </w:p>
    <w:p w:rsidR="00A64259" w:rsidRDefault="002B731B">
      <w:pPr>
        <w:pStyle w:val="2"/>
        <w:numPr>
          <w:ilvl w:val="2"/>
          <w:numId w:val="9"/>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updates to avoid duplicated correction </w:t>
      </w:r>
    </w:p>
    <w:p w:rsidR="00A64259" w:rsidRDefault="002B731B">
      <w:pPr>
        <w:numPr>
          <w:ilvl w:val="3"/>
          <w:numId w:val="0"/>
        </w:numPr>
        <w:spacing w:beforeLines="50"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W.r.t the combination of open loop and closed loop TA control, UE could always add the accumulated TA command and UE autonomous TA in general case. However, as discussed in RAN1#106e, double correction may happen when the parameters that affect open loop control (including at least common TA, ephemeris, and GNSS position) are updated. Directly resetting accumulative closed loop TA (i.e., </w:t>
      </w:r>
      <w:r>
        <w:rPr>
          <w:rFonts w:ascii="Times New Roman" w:eastAsia="宋体" w:hAnsi="Times New Roman" w:cs="Times New Roman" w:hint="eastAsia"/>
          <w:position w:val="-10"/>
          <w:sz w:val="20"/>
          <w:szCs w:val="20"/>
        </w:rPr>
        <w:object w:dxaOrig="421" w:dyaOrig="343" w14:anchorId="4A3AE200">
          <v:shape id="_x0000_i1084" type="#_x0000_t75" style="width:21.05pt;height:17.15pt" o:ole="">
            <v:imagedata r:id="rId49" o:title=""/>
          </v:shape>
          <o:OLEObject Type="Embed" ProgID="Equation.KSEE3" ShapeID="_x0000_i1084" DrawAspect="Content" ObjectID="_1694606374" r:id="rId96"/>
        </w:object>
      </w:r>
      <w:r>
        <w:rPr>
          <w:rFonts w:ascii="Times New Roman" w:eastAsia="宋体" w:hAnsi="Times New Roman" w:cs="Times New Roman" w:hint="eastAsia"/>
          <w:sz w:val="20"/>
          <w:szCs w:val="20"/>
        </w:rPr>
        <w:t xml:space="preserve">) to zero is not a good option since closed loop TA will correct the errors caused by all factors including common TA, ephemeris, and GNSS position but they may not be updated simultaneously. In our view, when UE determines new UE </w:t>
      </w:r>
      <w:r>
        <w:rPr>
          <w:rFonts w:ascii="Times New Roman" w:eastAsia="宋体" w:hAnsi="Times New Roman" w:cs="Times New Roman" w:hint="eastAsia"/>
          <w:sz w:val="20"/>
          <w:szCs w:val="20"/>
        </w:rPr>
        <w:lastRenderedPageBreak/>
        <w:t xml:space="preserve">specific TA </w:t>
      </w:r>
      <w:r>
        <w:rPr>
          <w:rFonts w:ascii="Times New Roman" w:eastAsia="宋体" w:hAnsi="Times New Roman" w:cs="Times New Roman" w:hint="eastAsia"/>
          <w:position w:val="-14"/>
          <w:sz w:val="20"/>
          <w:szCs w:val="20"/>
        </w:rPr>
        <w:object w:dxaOrig="1451" w:dyaOrig="377" w14:anchorId="323AE7F6">
          <v:shape id="_x0000_i1085" type="#_x0000_t75" style="width:72.55pt;height:18.85pt" o:ole="">
            <v:imagedata r:id="rId97" o:title=""/>
          </v:shape>
          <o:OLEObject Type="Embed" ProgID="Equation.KSEE3" ShapeID="_x0000_i1085" DrawAspect="Content" ObjectID="_1694606375" r:id="rId98"/>
        </w:object>
      </w:r>
      <w:r>
        <w:rPr>
          <w:rFonts w:ascii="Times New Roman" w:eastAsia="宋体" w:hAnsi="Times New Roman" w:cs="Times New Roman" w:hint="eastAsia"/>
          <w:sz w:val="20"/>
          <w:szCs w:val="20"/>
        </w:rPr>
        <w:t xml:space="preserve"> based on newly obtained GNSS position and or ephemeris, UE could subtract the difference between new value </w:t>
      </w:r>
      <w:r>
        <w:rPr>
          <w:rFonts w:ascii="Times New Roman" w:eastAsia="宋体" w:hAnsi="Times New Roman" w:cs="Times New Roman" w:hint="eastAsia"/>
          <w:position w:val="-14"/>
          <w:sz w:val="20"/>
          <w:szCs w:val="20"/>
        </w:rPr>
        <w:object w:dxaOrig="1451" w:dyaOrig="377" w14:anchorId="3BF36326">
          <v:shape id="_x0000_i1086" type="#_x0000_t75" style="width:72.55pt;height:18.85pt" o:ole="">
            <v:imagedata r:id="rId97" o:title=""/>
          </v:shape>
          <o:OLEObject Type="Embed" ProgID="Equation.KSEE3" ShapeID="_x0000_i1086" DrawAspect="Content" ObjectID="_1694606376" r:id="rId99"/>
        </w:object>
      </w:r>
      <w:r>
        <w:rPr>
          <w:rFonts w:ascii="Times New Roman" w:eastAsia="宋体" w:hAnsi="Times New Roman" w:cs="Times New Roman" w:hint="eastAsia"/>
          <w:sz w:val="20"/>
          <w:szCs w:val="20"/>
        </w:rPr>
        <w:t xml:space="preserve"> and old value </w:t>
      </w:r>
      <w:r>
        <w:rPr>
          <w:rFonts w:ascii="Times New Roman" w:eastAsia="宋体" w:hAnsi="Times New Roman" w:cs="Times New Roman" w:hint="eastAsia"/>
          <w:position w:val="-14"/>
          <w:sz w:val="20"/>
          <w:szCs w:val="20"/>
        </w:rPr>
        <w:object w:dxaOrig="1429" w:dyaOrig="377" w14:anchorId="3A54E1EC">
          <v:shape id="_x0000_i1087" type="#_x0000_t75" style="width:71.45pt;height:18.85pt" o:ole="">
            <v:imagedata r:id="rId100" o:title=""/>
          </v:shape>
          <o:OLEObject Type="Embed" ProgID="Equation.KSEE3" ShapeID="_x0000_i1087" DrawAspect="Content" ObjectID="_1694606377" r:id="rId101"/>
        </w:object>
      </w:r>
      <w:r>
        <w:rPr>
          <w:rFonts w:ascii="Times New Roman" w:eastAsia="宋体" w:hAnsi="Times New Roman" w:cs="Times New Roman" w:hint="eastAsia"/>
          <w:sz w:val="20"/>
          <w:szCs w:val="20"/>
        </w:rPr>
        <w:t xml:space="preserve"> from the accumulative closed loop TA </w:t>
      </w:r>
      <w:r>
        <w:rPr>
          <w:rFonts w:ascii="Times New Roman" w:eastAsia="宋体" w:hAnsi="Times New Roman" w:cs="Times New Roman" w:hint="eastAsia"/>
          <w:position w:val="-10"/>
          <w:sz w:val="20"/>
          <w:szCs w:val="20"/>
        </w:rPr>
        <w:object w:dxaOrig="421" w:dyaOrig="343" w14:anchorId="728C02EA">
          <v:shape id="_x0000_i1088" type="#_x0000_t75" style="width:21.05pt;height:17.15pt" o:ole="">
            <v:imagedata r:id="rId49" o:title=""/>
          </v:shape>
          <o:OLEObject Type="Embed" ProgID="Equation.KSEE3" ShapeID="_x0000_i1088" DrawAspect="Content" ObjectID="_1694606378" r:id="rId102"/>
        </w:object>
      </w:r>
      <w:r>
        <w:rPr>
          <w:rFonts w:ascii="Times New Roman" w:eastAsia="宋体" w:hAnsi="Times New Roman" w:cs="Times New Roman" w:hint="eastAsia"/>
          <w:sz w:val="20"/>
          <w:szCs w:val="20"/>
        </w:rPr>
        <w:t xml:space="preserve">. In this case, the TA jump caused by double correction and TA resetting can both be avoided. For open loop control of common TA, similar procedure can be adopted, i.e., UE subtracts the difference between common TA derived based on new parameters </w:t>
      </w:r>
      <w:r>
        <w:rPr>
          <w:rFonts w:ascii="Times New Roman" w:eastAsia="宋体" w:hAnsi="Times New Roman" w:cs="Times New Roman" w:hint="eastAsia"/>
          <w:position w:val="-14"/>
          <w:sz w:val="20"/>
          <w:szCs w:val="20"/>
        </w:rPr>
        <w:object w:dxaOrig="1218" w:dyaOrig="377" w14:anchorId="2B913204">
          <v:shape id="_x0000_i1089" type="#_x0000_t75" style="width:60.9pt;height:18.85pt" o:ole="">
            <v:imagedata r:id="rId103" o:title=""/>
          </v:shape>
          <o:OLEObject Type="Embed" ProgID="Equation.KSEE3" ShapeID="_x0000_i1089" DrawAspect="Content" ObjectID="_1694606379" r:id="rId104"/>
        </w:object>
      </w:r>
      <w:r>
        <w:rPr>
          <w:rFonts w:ascii="Times New Roman" w:eastAsia="宋体" w:hAnsi="Times New Roman" w:cs="Times New Roman" w:hint="eastAsia"/>
          <w:sz w:val="20"/>
          <w:szCs w:val="20"/>
        </w:rPr>
        <w:t xml:space="preserve"> and the value based on old parameters </w:t>
      </w:r>
      <w:r>
        <w:rPr>
          <w:rFonts w:ascii="Times New Roman" w:eastAsia="宋体" w:hAnsi="Times New Roman" w:cs="Times New Roman" w:hint="eastAsia"/>
          <w:position w:val="-14"/>
          <w:sz w:val="20"/>
          <w:szCs w:val="20"/>
        </w:rPr>
        <w:object w:dxaOrig="1185" w:dyaOrig="377" w14:anchorId="2A4D53B4">
          <v:shape id="_x0000_i1090" type="#_x0000_t75" style="width:59.25pt;height:18.85pt" o:ole="">
            <v:imagedata r:id="rId105" o:title=""/>
          </v:shape>
          <o:OLEObject Type="Embed" ProgID="Equation.KSEE3" ShapeID="_x0000_i1090" DrawAspect="Content" ObjectID="_1694606380" r:id="rId106"/>
        </w:object>
      </w:r>
      <w:r>
        <w:rPr>
          <w:rFonts w:ascii="Times New Roman" w:eastAsia="宋体" w:hAnsi="Times New Roman" w:cs="Times New Roman" w:hint="eastAsia"/>
          <w:sz w:val="20"/>
          <w:szCs w:val="20"/>
        </w:rPr>
        <w:t xml:space="preserve"> from the accumulative closed loop </w:t>
      </w:r>
      <w:r>
        <w:rPr>
          <w:rFonts w:ascii="Times New Roman" w:eastAsia="宋体" w:hAnsi="Times New Roman" w:cs="Times New Roman"/>
          <w:sz w:val="20"/>
          <w:szCs w:val="20"/>
        </w:rPr>
        <w:t>TA</w:t>
      </w:r>
      <w:r>
        <w:rPr>
          <w:rFonts w:ascii="Times New Roman" w:eastAsia="宋体" w:hAnsi="Times New Roman" w:cs="Times New Roman" w:hint="eastAsia"/>
          <w:position w:val="-10"/>
          <w:sz w:val="20"/>
          <w:szCs w:val="20"/>
        </w:rPr>
        <w:object w:dxaOrig="421" w:dyaOrig="343" w14:anchorId="3343FAE6">
          <v:shape id="_x0000_i1091" type="#_x0000_t75" style="width:21.05pt;height:17.15pt" o:ole="">
            <v:imagedata r:id="rId49" o:title=""/>
          </v:shape>
          <o:OLEObject Type="Embed" ProgID="Equation.KSEE3" ShapeID="_x0000_i1091" DrawAspect="Content" ObjectID="_1694606381" r:id="rId107"/>
        </w:object>
      </w:r>
      <w:r>
        <w:rPr>
          <w:rFonts w:ascii="Times New Roman" w:eastAsia="宋体" w:hAnsi="Times New Roman" w:cs="Times New Roman" w:hint="eastAsia"/>
          <w:sz w:val="20"/>
          <w:szCs w:val="20"/>
        </w:rPr>
        <w:t>.</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eastAsia="宋体" w:hAnsi="Times New Roman" w:hint="eastAsia"/>
          <w:bCs/>
          <w:i/>
          <w:sz w:val="20"/>
          <w:szCs w:val="20"/>
        </w:rPr>
        <w:t>In RRC_CONNECTED state in NR NTN, when a new GNSS fix and/or new ephemeris are applied, UE could subtract the difference between UE specific TAs derived based on new parameters and old parameters from the accumulative closed loop TA to avoid TA jump.</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eastAsia="宋体" w:hAnsi="Times New Roman" w:hint="eastAsia"/>
          <w:bCs/>
          <w:i/>
          <w:sz w:val="20"/>
          <w:szCs w:val="20"/>
        </w:rPr>
        <w:t>In RRC_CONNECTED state in NR NTN, when new common TA parameters are applied, UE could subtract the difference between common TAs derived based on new parameters and old parameters from the accumulative closed loop TA to avoid TA jump.</w:t>
      </w:r>
    </w:p>
    <w:p w:rsidR="00A64259" w:rsidRDefault="002B731B">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timer for assistance information</w:t>
      </w:r>
      <w:r>
        <w:rPr>
          <w:rFonts w:ascii="Times New Roman" w:eastAsia="宋体" w:hAnsi="Times New Roman" w:cs="Times New Roman"/>
          <w:sz w:val="24"/>
          <w:szCs w:val="24"/>
          <w:lang w:val="en-US"/>
        </w:rPr>
        <w:t xml:space="preserve"> </w:t>
      </w:r>
    </w:p>
    <w:p w:rsidR="00A64259" w:rsidRDefault="002B731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RAN1#106e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it has been agreed that a validity duration configured by the network for satellite ephemeris data indicates the maximum time during which the UE can apply the satellite ephemeris without having acquired new satellite ephemeris. While how the UE utilizes the validity duration and whether the same validity duration is applicable for common TA are still FFS. </w:t>
      </w:r>
    </w:p>
    <w:p w:rsidR="00A64259" w:rsidRDefault="002B731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Firstly, the ephemeris and common TA parameters are both generated by BS and broadcast via SIB. Hence, BS could take different types of broadcast assistance information including ephemeris and common TA into consideration and generate an overall validity duration. This validity duration indication can be applicable for both ephemeris and common TA. </w:t>
      </w:r>
    </w:p>
    <w:p w:rsidR="00A64259" w:rsidRDefault="002B731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Secondly, after receiving the validity duration, a validity timer can be configured at UE side to control the UE behaviors. The validity timer should be started/restarted when a new set of assistance information is activated based on the configured validity duration. When the validity timer is running, UE can apply the ephemeris and common TA without having acquired new assistance information. Upon the expiry of the timer, the synchronization is thought lost. Obviously, the complexity of UE will be high if UE read every SIB to update assistance information (redundant SIB decoding) or only update assistance information after expiry of timer (additional re-access procedure). Hence, the assistance information is expected to be updated in periodical way and the update period should be equal to or shorter than validity duration length, e.g.,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this case, continuous transmission with accurate UL synchronization can be ensured with relatively low complexity.</w:t>
      </w:r>
    </w:p>
    <w:p w:rsidR="00A64259" w:rsidRDefault="002B731B">
      <w:pPr>
        <w:numPr>
          <w:ilvl w:val="3"/>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5378450" cy="1290955"/>
            <wp:effectExtent l="0" t="0" r="12700" b="4445"/>
            <wp:docPr id="7" name="图片 7" descr="valid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valid time"/>
                    <pic:cNvPicPr>
                      <a:picLocks noChangeAspect="1"/>
                    </pic:cNvPicPr>
                  </pic:nvPicPr>
                  <pic:blipFill>
                    <a:blip r:embed="rId108"/>
                    <a:stretch>
                      <a:fillRect/>
                    </a:stretch>
                  </pic:blipFill>
                  <pic:spPr>
                    <a:xfrm>
                      <a:off x="0" y="0"/>
                      <a:ext cx="5378450" cy="1290955"/>
                    </a:xfrm>
                    <a:prstGeom prst="rect">
                      <a:avLst/>
                    </a:prstGeom>
                  </pic:spPr>
                </pic:pic>
              </a:graphicData>
            </a:graphic>
          </wp:inline>
        </w:drawing>
      </w:r>
    </w:p>
    <w:p w:rsidR="00A64259" w:rsidRDefault="002B731B">
      <w:pPr>
        <w:pStyle w:val="a3"/>
        <w:rPr>
          <w:lang w:val="en-US"/>
        </w:rPr>
      </w:pPr>
      <w:bookmarkStart w:id="14" w:name="_Ref31955"/>
      <w:r>
        <w:rPr>
          <w:rFonts w:hint="eastAsia"/>
          <w:b w:val="0"/>
          <w:lang w:val="en-US"/>
        </w:rPr>
        <w:t xml:space="preserve">Figure </w:t>
      </w:r>
      <w:r>
        <w:rPr>
          <w:rFonts w:hint="eastAsia"/>
          <w:b w:val="0"/>
          <w:lang w:val="en-US"/>
        </w:rPr>
        <w:fldChar w:fldCharType="begin"/>
      </w:r>
      <w:r>
        <w:rPr>
          <w:rFonts w:hint="eastAsia"/>
          <w:b w:val="0"/>
          <w:lang w:val="en-US"/>
        </w:rPr>
        <w:instrText xml:space="preserve"> SEQ Figure \* ARABIC </w:instrText>
      </w:r>
      <w:r>
        <w:rPr>
          <w:rFonts w:hint="eastAsia"/>
          <w:b w:val="0"/>
          <w:lang w:val="en-US"/>
        </w:rPr>
        <w:fldChar w:fldCharType="separate"/>
      </w:r>
      <w:r>
        <w:rPr>
          <w:b w:val="0"/>
          <w:lang w:val="en-US"/>
        </w:rPr>
        <w:t>5</w:t>
      </w:r>
      <w:r>
        <w:rPr>
          <w:rFonts w:hint="eastAsia"/>
          <w:b w:val="0"/>
          <w:lang w:val="en-US"/>
        </w:rPr>
        <w:fldChar w:fldCharType="end"/>
      </w:r>
      <w:bookmarkEnd w:id="14"/>
      <w:r>
        <w:rPr>
          <w:rFonts w:hint="eastAsia"/>
          <w:b w:val="0"/>
          <w:lang w:val="en-US"/>
        </w:rPr>
        <w:t xml:space="preserve"> Illustration of indication of assistance information</w:t>
      </w:r>
    </w:p>
    <w:p w:rsidR="00A64259" w:rsidRDefault="002B731B">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 </w:t>
      </w:r>
      <w:r>
        <w:rPr>
          <w:rFonts w:ascii="Times New Roman" w:hAnsi="Times New Roman" w:cs="Times New Roman" w:hint="eastAsia"/>
          <w:i/>
          <w:iCs/>
          <w:sz w:val="20"/>
          <w:szCs w:val="20"/>
        </w:rPr>
        <w:t>A validity timer can be defined for assistance information, e.g., common TA parameters and ephemeris data:</w:t>
      </w:r>
    </w:p>
    <w:p w:rsidR="00A64259" w:rsidRDefault="002B731B">
      <w:pPr>
        <w:numPr>
          <w:ilvl w:val="0"/>
          <w:numId w:val="12"/>
        </w:numPr>
        <w:spacing w:after="120"/>
        <w:rPr>
          <w:rFonts w:ascii="Times New Roman" w:eastAsia="宋体" w:hAnsi="Times New Roman" w:cs="Times New Roman"/>
          <w:i/>
          <w:iCs/>
          <w:sz w:val="20"/>
          <w:szCs w:val="20"/>
        </w:rPr>
      </w:pPr>
      <w:r>
        <w:rPr>
          <w:rFonts w:ascii="Times New Roman" w:eastAsia="宋体" w:hAnsi="Times New Roman" w:cs="Times New Roman" w:hint="eastAsia"/>
          <w:i/>
          <w:iCs/>
          <w:sz w:val="20"/>
          <w:szCs w:val="20"/>
        </w:rPr>
        <w:t xml:space="preserve">The timer should </w:t>
      </w:r>
      <w:r>
        <w:rPr>
          <w:rFonts w:ascii="Times New Roman" w:eastAsia="宋体" w:hAnsi="Times New Roman" w:cs="Times New Roman"/>
          <w:i/>
          <w:iCs/>
          <w:sz w:val="20"/>
          <w:szCs w:val="20"/>
        </w:rPr>
        <w:t xml:space="preserve">be </w:t>
      </w:r>
      <w:r>
        <w:rPr>
          <w:rFonts w:ascii="Times New Roman" w:eastAsia="宋体" w:hAnsi="Times New Roman" w:cs="Times New Roman" w:hint="eastAsia"/>
          <w:i/>
          <w:iCs/>
          <w:sz w:val="20"/>
          <w:szCs w:val="20"/>
        </w:rPr>
        <w:t xml:space="preserve">started/restarted when the updated assistance information is activated based on configured validity duration. </w:t>
      </w:r>
    </w:p>
    <w:p w:rsidR="00A64259" w:rsidRDefault="002B731B">
      <w:pPr>
        <w:numPr>
          <w:ilvl w:val="0"/>
          <w:numId w:val="12"/>
        </w:numPr>
        <w:spacing w:after="120"/>
        <w:rPr>
          <w:rFonts w:ascii="Times New Roman" w:eastAsia="宋体" w:hAnsi="Times New Roman" w:cs="Times New Roman"/>
          <w:i/>
          <w:iCs/>
          <w:sz w:val="20"/>
          <w:szCs w:val="20"/>
        </w:rPr>
      </w:pPr>
      <w:r>
        <w:rPr>
          <w:rFonts w:ascii="Times New Roman" w:eastAsia="宋体" w:hAnsi="Times New Roman" w:cs="Times New Roman" w:hint="eastAsia"/>
          <w:i/>
          <w:iCs/>
          <w:sz w:val="20"/>
          <w:szCs w:val="20"/>
        </w:rPr>
        <w:lastRenderedPageBreak/>
        <w:t>Upon expiry of timer, the UL synchronization is assumed</w:t>
      </w:r>
      <w:r>
        <w:rPr>
          <w:rFonts w:ascii="Times New Roman" w:eastAsia="宋体" w:hAnsi="Times New Roman" w:cs="Times New Roman"/>
          <w:i/>
          <w:iCs/>
          <w:sz w:val="20"/>
          <w:szCs w:val="20"/>
        </w:rPr>
        <w:t xml:space="preserve"> to be </w:t>
      </w:r>
      <w:r>
        <w:rPr>
          <w:rFonts w:ascii="Times New Roman" w:eastAsia="宋体" w:hAnsi="Times New Roman" w:cs="Times New Roman" w:hint="eastAsia"/>
          <w:i/>
          <w:iCs/>
          <w:sz w:val="20"/>
          <w:szCs w:val="20"/>
        </w:rPr>
        <w:t>lost.</w:t>
      </w:r>
    </w:p>
    <w:p w:rsidR="00A64259" w:rsidRDefault="002B731B">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 </w:t>
      </w:r>
      <w:r w:rsidR="00935411">
        <w:rPr>
          <w:rFonts w:ascii="Times New Roman" w:hAnsi="Times New Roman" w:cs="Times New Roman"/>
          <w:i/>
          <w:iCs/>
          <w:sz w:val="20"/>
          <w:szCs w:val="20"/>
        </w:rPr>
        <w:t>An</w:t>
      </w:r>
      <w:r>
        <w:rPr>
          <w:rFonts w:ascii="Times New Roman" w:hAnsi="Times New Roman" w:cs="Times New Roman" w:hint="eastAsia"/>
          <w:i/>
          <w:iCs/>
          <w:sz w:val="20"/>
          <w:szCs w:val="20"/>
        </w:rPr>
        <w:t xml:space="preserve"> update period of assistance information can be configured to UE and should be equal to or shorter than the validity duration.</w:t>
      </w:r>
    </w:p>
    <w:p w:rsidR="00A64259" w:rsidRDefault="002B731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Furthermore, to deliver the full set information of </w:t>
      </w:r>
      <w:r>
        <w:rPr>
          <w:rFonts w:ascii="Times New Roman" w:eastAsia="宋体" w:hAnsi="Times New Roman" w:cs="Times New Roman" w:hint="eastAsia"/>
          <w:sz w:val="20"/>
          <w:szCs w:val="20"/>
        </w:rPr>
        <w:t>validity duration</w:t>
      </w:r>
      <w:r>
        <w:rPr>
          <w:rFonts w:ascii="Times New Roman" w:eastAsia="宋体" w:hAnsi="Times New Roman" w:cs="Times New Roman"/>
          <w:sz w:val="20"/>
          <w:szCs w:val="20"/>
        </w:rPr>
        <w:t xml:space="preserve"> without confusion at UE side, </w:t>
      </w:r>
      <w:r>
        <w:rPr>
          <w:rFonts w:ascii="Times New Roman" w:eastAsia="宋体" w:hAnsi="Times New Roman" w:cs="Times New Roman" w:hint="eastAsia"/>
          <w:sz w:val="20"/>
          <w:szCs w:val="20"/>
        </w:rPr>
        <w:t xml:space="preserve">the activation time instant and valid time length should be indicated to UE. To save signaling, the activation time instant can be considered indicated in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implicit way with predefined rule. More specifically, the activation time instant is implicitly known as a reference time linked to DL subframe where the initial SIB carrying the assistance information is broadcast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However, if multiple SIBs could contain same content (e.g., when modification period is applied for SIB update) and decoded SIB is not the initial SIB, the activation time instant cannot be correctly obtained. To handle this scenario, the SIBs containing the same assistance information can be allocated with a series of indexes. In this case, UE could know which SIB is decoded and calculate the interval between decoded SIB and initial SIB. Then, the activation time instant can be derived by subtracting the calculated interval from the reference time of decoded SIB. W.r.t implementation of SIB index allocation, an example method is to associate the SIBs with different SSBs and employ the SSB index as SIB index, which will not cause additional signaling overhead.</w:t>
      </w:r>
    </w:p>
    <w:p w:rsidR="00A64259" w:rsidRDefault="002B731B">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As for validity duration length, it can be broadcast together with the corresponding assistance information. Since the accuracy of v</w:t>
      </w:r>
      <w:r>
        <w:rPr>
          <w:rFonts w:ascii="Times New Roman" w:eastAsia="宋体" w:hAnsi="Times New Roman" w:cs="Times New Roman"/>
          <w:sz w:val="20"/>
          <w:szCs w:val="20"/>
        </w:rPr>
        <w:t>alid</w:t>
      </w:r>
      <w:r>
        <w:rPr>
          <w:rFonts w:ascii="Times New Roman" w:eastAsia="宋体" w:hAnsi="Times New Roman" w:cs="Times New Roman" w:hint="eastAsia"/>
          <w:sz w:val="20"/>
          <w:szCs w:val="20"/>
        </w:rPr>
        <w:t>ity duration length is not needed to be very accurate, a coarse signaling granularity can be considered to reduce signaling overhead, e.g., a subframe or even a SIB period.</w:t>
      </w:r>
    </w:p>
    <w:p w:rsidR="00A64259" w:rsidRDefault="002B731B">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12</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activation time instant of validity duration for assistance information can be implicitly known as a reference time linked to DL subframe where the initial SIB carrying the assistance information is broadcast</w:t>
      </w:r>
      <w:r>
        <w:rPr>
          <w:rFonts w:ascii="Times New Roman" w:eastAsia="宋体" w:hAnsi="Times New Roman" w:cs="Times New Roman" w:hint="eastAsia"/>
          <w:i/>
          <w:iCs/>
          <w:sz w:val="20"/>
          <w:szCs w:val="20"/>
        </w:rPr>
        <w:t>.</w:t>
      </w:r>
    </w:p>
    <w:p w:rsidR="00A64259" w:rsidRDefault="002B731B">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i/>
          <w:sz w:val="20"/>
          <w:szCs w:val="20"/>
        </w:rPr>
        <w:t>An index associated to the SIB delivering the assistance information is needed to enable the derivation of active time for assistance information.</w:t>
      </w:r>
    </w:p>
    <w:p w:rsidR="00A64259" w:rsidRDefault="002B731B">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validity duration length can be broadcast along with assistance information. A coarse signaling granularity can be applied, e.g., a SIB period.</w:t>
      </w:r>
    </w:p>
    <w:p w:rsidR="00A64259" w:rsidRDefault="002B731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frequency synchronization</w:t>
      </w:r>
    </w:p>
    <w:p w:rsidR="00A64259" w:rsidRDefault="002B731B">
      <w:pPr>
        <w:pStyle w:val="2"/>
        <w:numPr>
          <w:ilvl w:val="1"/>
          <w:numId w:val="9"/>
        </w:numPr>
        <w:rPr>
          <w:rFonts w:ascii="Times New Roman" w:eastAsia="宋体" w:hAnsi="Times New Roman" w:cs="Times New Roman"/>
          <w:sz w:val="20"/>
          <w:szCs w:val="20"/>
          <w:lang w:val="en-US"/>
        </w:rPr>
      </w:pPr>
      <w:r>
        <w:rPr>
          <w:rFonts w:ascii="Times New Roman" w:eastAsia="宋体" w:hAnsi="Times New Roman" w:cs="Times New Roman"/>
          <w:sz w:val="24"/>
          <w:szCs w:val="24"/>
          <w:lang w:val="en-US"/>
        </w:rPr>
        <w:t xml:space="preserve">Indication of </w:t>
      </w:r>
      <w:r>
        <w:rPr>
          <w:rFonts w:ascii="Times New Roman" w:eastAsia="宋体" w:hAnsi="Times New Roman" w:cs="Times New Roman" w:hint="eastAsia"/>
          <w:sz w:val="24"/>
          <w:szCs w:val="24"/>
          <w:lang w:val="en-US"/>
        </w:rPr>
        <w:t>common compensation frequency offset</w:t>
      </w:r>
    </w:p>
    <w:p w:rsidR="00A64259" w:rsidRDefault="002B731B">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RAN1#106e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indications of two types of common compensation frequency offset have been discussed. A conclusion was made that indication of common post-compensation frequency offset for Uplink is not needed. While whether to support and indicate the common DL frequency compensation for the service link Doppler shift has not been agreed yet.</w:t>
      </w:r>
    </w:p>
    <w:p w:rsidR="00A64259" w:rsidRDefault="002B731B">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When DL pre-compensation for the service link Doppler shift is performed, the pre-compensated value should be indicated to UE. Otherwise, UE is not able to determine the nominal TX frequency in UL</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As restricted in TS 38.101</w:t>
      </w:r>
      <w:r>
        <w:rPr>
          <w:rFonts w:ascii="Times New Roman" w:eastAsia="宋体" w:hAnsi="Times New Roman" w:cs="Times New Roman"/>
          <w:sz w:val="20"/>
          <w:szCs w:val="20"/>
        </w:rPr>
        <w:t xml:space="preserve"> and also highlighted in RAN4’s LS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_Ref71537093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 the total frequency error should be within </w:t>
      </w:r>
      <w:r>
        <w:rPr>
          <w:rFonts w:ascii="Times New Roman" w:hAnsi="Times New Roman"/>
          <w:sz w:val="20"/>
          <w:szCs w:val="20"/>
          <w:lang w:val="en-GB"/>
        </w:rPr>
        <w:t>±0.1</w:t>
      </w:r>
      <w:r>
        <w:rPr>
          <w:rFonts w:ascii="Times New Roman" w:eastAsia="宋体" w:hAnsi="Times New Roman" w:cs="Times New Roman" w:hint="eastAsia"/>
          <w:sz w:val="20"/>
          <w:szCs w:val="20"/>
        </w:rPr>
        <w:t xml:space="preserve"> ppm after synchronization. Since 0.1 ppm is the budget for all factors of frequency errors, the quantization error of common compensation frequency offset in indication should be further reduced and 0.01 ppm can be considered as granularity. Since the maximum Doppler is achieved under minimum elevation angle and when only one of DL pre-compensation and UL post-compensation is applied, the required bit number for indication of common compensation frequency offset on service link is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_Ref30569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hint="eastAsia"/>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A64259" w:rsidRDefault="002B731B">
      <w:pPr>
        <w:pStyle w:val="a3"/>
        <w:spacing w:beforeLines="50" w:before="120" w:afterLines="50"/>
        <w:ind w:leftChars="200" w:left="440"/>
        <w:rPr>
          <w:b w:val="0"/>
          <w:lang w:val="en-US"/>
        </w:rPr>
      </w:pPr>
      <w:bookmarkStart w:id="15" w:name="_Ref30569"/>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5</w:t>
      </w:r>
      <w:r>
        <w:rPr>
          <w:rFonts w:hint="eastAsia"/>
          <w:b w:val="0"/>
          <w:lang w:val="en-US"/>
        </w:rPr>
        <w:fldChar w:fldCharType="end"/>
      </w:r>
      <w:bookmarkEnd w:id="15"/>
      <w:r>
        <w:rPr>
          <w:rFonts w:hint="eastAsia"/>
          <w:b w:val="0"/>
          <w:lang w:val="en-US"/>
        </w:rPr>
        <w:t xml:space="preserve"> Required bit number for indication of common DL frequency compensation for the service link Doppler shift with 0.01 ppm granularity</w:t>
      </w:r>
    </w:p>
    <w:tbl>
      <w:tblPr>
        <w:tblStyle w:val="aa"/>
        <w:tblW w:w="7520" w:type="dxa"/>
        <w:jc w:val="center"/>
        <w:tblLayout w:type="fixed"/>
        <w:tblLook w:val="04A0" w:firstRow="1" w:lastRow="0" w:firstColumn="1" w:lastColumn="0" w:noHBand="0" w:noVBand="1"/>
      </w:tblPr>
      <w:tblGrid>
        <w:gridCol w:w="1880"/>
        <w:gridCol w:w="1880"/>
        <w:gridCol w:w="1880"/>
        <w:gridCol w:w="1880"/>
      </w:tblGrid>
      <w:tr w:rsidR="00A64259">
        <w:trPr>
          <w:trHeight w:val="222"/>
          <w:jc w:val="center"/>
        </w:trPr>
        <w:tc>
          <w:tcPr>
            <w:tcW w:w="1880" w:type="dxa"/>
          </w:tcPr>
          <w:p w:rsidR="00A64259" w:rsidRDefault="00A64259">
            <w:pPr>
              <w:rPr>
                <w:rFonts w:ascii="Times New Roman" w:eastAsia="宋体" w:hAnsi="Times New Roman" w:cs="Times New Roman"/>
                <w:sz w:val="20"/>
                <w:szCs w:val="20"/>
              </w:rPr>
            </w:pP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A64259">
        <w:trPr>
          <w:trHeight w:val="228"/>
          <w:jc w:val="center"/>
        </w:trPr>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Upper bound of Doppler</w:t>
            </w: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22.7 ppm</w:t>
            </w: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20.1 ppm</w:t>
            </w:r>
          </w:p>
        </w:tc>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A64259">
        <w:trPr>
          <w:trHeight w:val="582"/>
          <w:jc w:val="center"/>
        </w:trPr>
        <w:tc>
          <w:tcPr>
            <w:tcW w:w="1880" w:type="dxa"/>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for indicating frequency </w:t>
            </w:r>
          </w:p>
        </w:tc>
        <w:tc>
          <w:tcPr>
            <w:tcW w:w="188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88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880" w:type="dxa"/>
            <w:vAlign w:val="center"/>
          </w:tcPr>
          <w:p w:rsidR="00A64259" w:rsidRDefault="002B731B">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A64259" w:rsidRDefault="002B731B">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earth-fixed scenario, the maximum Doppler drift rate can be as large as 0.27 ppm/s for LEO-600 as shown in TR 38.821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_Ref24082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this case, the indicated common DL frequency may need to be updated with a period of few seconds to ensure the error is within 0.1 ppm tolerable range. By indicating a Doppler drift rate or directly indicating position of reference point could reduce the update frequency but more advanced signaling design is required. With consideration on the limited time, it is recommended to deprioritize support of common DL frequency compensation for the service link Doppler shift in Rel-17.</w:t>
      </w:r>
    </w:p>
    <w:p w:rsidR="00A64259" w:rsidRDefault="002B731B">
      <w:pPr>
        <w:ind w:leftChars="200" w:left="440"/>
        <w:jc w:val="both"/>
        <w:rPr>
          <w:rFonts w:eastAsia="黑体" w:cs="Times New Roman"/>
          <w:b/>
          <w:bCs/>
          <w:sz w:val="28"/>
          <w:szCs w:val="3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15: </w:t>
      </w:r>
      <w:r>
        <w:rPr>
          <w:rFonts w:ascii="Times New Roman" w:eastAsia="宋体" w:hAnsi="Times New Roman" w:hint="eastAsia"/>
          <w:i/>
          <w:sz w:val="20"/>
          <w:szCs w:val="20"/>
        </w:rPr>
        <w:t>With consideration on the limited time, it is recommended to deprioritize support of common DL frequency compensation for the service link Doppler shift in Rel-17</w:t>
      </w:r>
      <w:r>
        <w:rPr>
          <w:rFonts w:ascii="Times New Roman" w:eastAsia="宋体" w:hAnsi="Times New Roman"/>
          <w:i/>
          <w:sz w:val="20"/>
          <w:szCs w:val="20"/>
        </w:rPr>
        <w:t>.</w:t>
      </w:r>
    </w:p>
    <w:p w:rsidR="00A64259" w:rsidRDefault="002B731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Satellite ephemeris indication</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RAN1#106e, the bits allocation for serving satellite ephemeris is initially assumed to be 17 bytes for PV format, and 18 bytes for orbital parameter format. However, in some cases the payload can be largely reduced, which may affect following analysis on system performance, such as power consumption and required time length for SIB reading.</w:t>
      </w:r>
    </w:p>
    <w:p w:rsidR="00A64259" w:rsidRDefault="002B731B">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PV ephemeris format</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For example, in HAPS scenario, the position of a visible drone is actually within a small region near the UE, and the velocity is generally small. Comparing with the global representation of 17 bytes, the HAPS only needs a much smaller payload. Without loss of generality, assume the HAPS</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 altitude is 20-50km, and velocity is smaller than 100km/h. With the help of the relative position representation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_Ref30610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[5]</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required bits for PV format of HAPS is analyzed in Appendix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_Ref21094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6.1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listed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_Ref865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rsidR="00A64259" w:rsidRDefault="002B731B">
      <w:pPr>
        <w:pStyle w:val="a3"/>
        <w:rPr>
          <w:b w:val="0"/>
          <w:bCs w:val="0"/>
          <w:lang w:val="en-US"/>
        </w:rPr>
      </w:pPr>
      <w:bookmarkStart w:id="16" w:name="_Ref86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bookmarkEnd w:id="16"/>
      <w:r>
        <w:rPr>
          <w:rFonts w:hint="eastAsia"/>
          <w:b w:val="0"/>
          <w:bCs w:val="0"/>
          <w:lang w:val="en-US"/>
        </w:rPr>
        <w:t xml:space="preserve"> Bits allocation for </w:t>
      </w:r>
      <w:r>
        <w:rPr>
          <w:b w:val="0"/>
          <w:bCs w:val="0"/>
          <w:lang w:val="en-US"/>
        </w:rPr>
        <w:t>ephemeris</w:t>
      </w:r>
      <w:r>
        <w:rPr>
          <w:rFonts w:hint="eastAsia"/>
          <w:b w:val="0"/>
          <w:bCs w:val="0"/>
          <w:lang w:val="en-US"/>
        </w:rPr>
        <w:t xml:space="preserve"> in PV format</w:t>
      </w:r>
    </w:p>
    <w:tbl>
      <w:tblPr>
        <w:tblW w:w="0" w:type="auto"/>
        <w:tblInd w:w="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764"/>
        <w:gridCol w:w="523"/>
        <w:gridCol w:w="862"/>
        <w:gridCol w:w="1429"/>
        <w:gridCol w:w="1560"/>
      </w:tblGrid>
      <w:tr w:rsidR="00A64259">
        <w:tc>
          <w:tcPr>
            <w:tcW w:w="2060" w:type="dxa"/>
            <w:vAlign w:val="center"/>
          </w:tcPr>
          <w:p w:rsidR="00A64259" w:rsidRDefault="00A64259">
            <w:pPr>
              <w:spacing w:beforeLines="50" w:before="120" w:afterLines="50" w:after="120" w:line="240" w:lineRule="auto"/>
              <w:jc w:val="center"/>
              <w:rPr>
                <w:rFonts w:ascii="Times New Roman" w:eastAsia="宋体" w:hAnsi="Times New Roman" w:cs="Times New Roman"/>
                <w:sz w:val="20"/>
                <w:szCs w:val="20"/>
              </w:rPr>
            </w:pPr>
          </w:p>
        </w:tc>
        <w:tc>
          <w:tcPr>
            <w:tcW w:w="764"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X or Y</w:t>
            </w:r>
          </w:p>
        </w:tc>
        <w:tc>
          <w:tcPr>
            <w:tcW w:w="523"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Z</w:t>
            </w:r>
          </w:p>
        </w:tc>
        <w:tc>
          <w:tcPr>
            <w:tcW w:w="862"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velocity</w:t>
            </w:r>
          </w:p>
        </w:tc>
        <w:tc>
          <w:tcPr>
            <w:tcW w:w="1429"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Small grid associated</w:t>
            </w:r>
            <w:r>
              <w:rPr>
                <w:rFonts w:ascii="Times New Roman" w:eastAsia="宋体" w:hAnsi="Times New Roman" w:cs="Times New Roman"/>
                <w:sz w:val="20"/>
                <w:szCs w:val="20"/>
              </w:rPr>
              <w:t xml:space="preserve"> index</w:t>
            </w:r>
          </w:p>
        </w:tc>
        <w:tc>
          <w:tcPr>
            <w:tcW w:w="1560"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total</w:t>
            </w:r>
          </w:p>
        </w:tc>
      </w:tr>
      <w:tr w:rsidR="00A64259">
        <w:tc>
          <w:tcPr>
            <w:tcW w:w="2060" w:type="dxa"/>
            <w:vAlign w:val="center"/>
          </w:tcPr>
          <w:p w:rsidR="00A64259" w:rsidRDefault="002B731B">
            <w:pPr>
              <w:spacing w:beforeLines="50" w:before="120" w:afterLines="50"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Initially assumed payload </w:t>
            </w:r>
          </w:p>
        </w:tc>
        <w:tc>
          <w:tcPr>
            <w:tcW w:w="764"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523"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c>
          <w:tcPr>
            <w:tcW w:w="862"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54</w:t>
            </w:r>
          </w:p>
        </w:tc>
        <w:tc>
          <w:tcPr>
            <w:tcW w:w="1429"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c>
          <w:tcPr>
            <w:tcW w:w="1560"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132</w:t>
            </w:r>
          </w:p>
        </w:tc>
      </w:tr>
      <w:tr w:rsidR="00A64259">
        <w:tc>
          <w:tcPr>
            <w:tcW w:w="2060" w:type="dxa"/>
            <w:vAlign w:val="center"/>
          </w:tcPr>
          <w:p w:rsidR="00A64259" w:rsidRDefault="002B731B">
            <w:pPr>
              <w:spacing w:beforeLines="50" w:before="120" w:afterLines="50" w:after="120" w:line="24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Reduced payload for HAPS</w:t>
            </w:r>
          </w:p>
        </w:tc>
        <w:tc>
          <w:tcPr>
            <w:tcW w:w="764"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17</w:t>
            </w:r>
          </w:p>
        </w:tc>
        <w:tc>
          <w:tcPr>
            <w:tcW w:w="523"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w:t>
            </w:r>
          </w:p>
        </w:tc>
        <w:tc>
          <w:tcPr>
            <w:tcW w:w="862"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w:t>
            </w:r>
          </w:p>
        </w:tc>
        <w:tc>
          <w:tcPr>
            <w:tcW w:w="1429"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p>
        </w:tc>
        <w:tc>
          <w:tcPr>
            <w:tcW w:w="1560" w:type="dxa"/>
            <w:vAlign w:val="center"/>
          </w:tcPr>
          <w:p w:rsidR="00A64259" w:rsidRDefault="002B731B">
            <w:pPr>
              <w:spacing w:beforeLines="50" w:before="120" w:afterLines="50" w:after="120" w:line="240" w:lineRule="auto"/>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78</w:t>
            </w:r>
          </w:p>
        </w:tc>
      </w:tr>
    </w:tbl>
    <w:p w:rsidR="00A64259" w:rsidRDefault="002B731B" w:rsidP="006A3186">
      <w:pPr>
        <w:spacing w:beforeLines="50"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is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_Ref865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the scenario of HAPS, the serving satellite ephemeris in PV format can be indicated by 75bits. Comparing with the initially assumed bits allocation, a reduction of 41% is achieved. Actually, significant reduction can also be achieved in GEO scenario.</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It is a large waste to assume HAPS also allocate 17 bytes in SIB to represent ephemeris. Therefore, we should assume that different kinds of networks can have different number of allocated bits, at least for HAPS.</w:t>
      </w:r>
    </w:p>
    <w:p w:rsidR="00A64259" w:rsidRDefault="002B731B">
      <w:pPr>
        <w:spacing w:after="120"/>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16: </w:t>
      </w:r>
      <w:r>
        <w:rPr>
          <w:rFonts w:ascii="Times New Roman" w:eastAsia="宋体" w:hAnsi="Times New Roman"/>
          <w:i/>
          <w:sz w:val="20"/>
          <w:szCs w:val="20"/>
        </w:rPr>
        <w:t>D</w:t>
      </w:r>
      <w:r>
        <w:rPr>
          <w:rFonts w:ascii="Times New Roman" w:eastAsia="宋体" w:hAnsi="Times New Roman" w:hint="eastAsia"/>
          <w:i/>
          <w:sz w:val="20"/>
          <w:szCs w:val="20"/>
        </w:rPr>
        <w:t xml:space="preserve">ifferent number of bits </w:t>
      </w:r>
      <w:r>
        <w:rPr>
          <w:rFonts w:ascii="Times New Roman" w:eastAsia="宋体" w:hAnsi="Times New Roman"/>
          <w:i/>
          <w:sz w:val="20"/>
          <w:szCs w:val="20"/>
        </w:rPr>
        <w:t xml:space="preserve">for PV indication should be supported per </w:t>
      </w:r>
      <w:r>
        <w:rPr>
          <w:rFonts w:ascii="Times New Roman" w:eastAsia="宋体" w:hAnsi="Times New Roman" w:hint="eastAsia"/>
          <w:i/>
          <w:sz w:val="20"/>
          <w:szCs w:val="20"/>
        </w:rPr>
        <w:t>network type, at least for HAPS.</w:t>
      </w:r>
    </w:p>
    <w:p w:rsidR="00A64259" w:rsidRDefault="002B731B">
      <w:pPr>
        <w:spacing w:after="120"/>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17:</w:t>
      </w:r>
      <w:r w:rsidRPr="006A3186">
        <w:rPr>
          <w:rFonts w:ascii="Times New Roman" w:eastAsia="宋体" w:hAnsi="Times New Roman" w:hint="eastAsia"/>
          <w:i/>
          <w:sz w:val="20"/>
          <w:szCs w:val="20"/>
        </w:rPr>
        <w:t xml:space="preserve"> </w:t>
      </w:r>
      <w:r w:rsidRPr="006A3186">
        <w:rPr>
          <w:rFonts w:ascii="Times New Roman" w:eastAsia="宋体" w:hAnsi="Times New Roman"/>
          <w:i/>
          <w:sz w:val="20"/>
          <w:szCs w:val="20"/>
        </w:rPr>
        <w:t>Supports on the</w:t>
      </w:r>
      <w:r w:rsidRPr="006A3186">
        <w:rPr>
          <w:rFonts w:ascii="Times New Roman" w:eastAsia="宋体" w:hAnsi="Times New Roman" w:hint="eastAsia"/>
          <w:i/>
          <w:sz w:val="20"/>
          <w:szCs w:val="20"/>
        </w:rPr>
        <w:t xml:space="preserve"> relative position in PV indication to reduce payload in SIB</w:t>
      </w:r>
      <w:r w:rsidRPr="006A3186">
        <w:rPr>
          <w:rFonts w:ascii="Times New Roman" w:eastAsia="宋体" w:hAnsi="Times New Roman"/>
          <w:i/>
          <w:sz w:val="20"/>
          <w:szCs w:val="20"/>
        </w:rPr>
        <w:t xml:space="preserve"> should be specified </w:t>
      </w:r>
      <w:r w:rsidRPr="006A3186">
        <w:rPr>
          <w:rFonts w:ascii="Times New Roman" w:eastAsia="宋体" w:hAnsi="Times New Roman" w:hint="eastAsia"/>
          <w:i/>
          <w:sz w:val="20"/>
          <w:szCs w:val="20"/>
        </w:rPr>
        <w:t>at least for HAPS</w:t>
      </w:r>
      <w:r w:rsidRPr="006A3186">
        <w:rPr>
          <w:rFonts w:ascii="Times New Roman" w:eastAsia="宋体" w:hAnsi="Times New Roman"/>
          <w:i/>
          <w:sz w:val="20"/>
          <w:szCs w:val="20"/>
        </w:rPr>
        <w:t>.</w:t>
      </w:r>
    </w:p>
    <w:p w:rsidR="00A64259" w:rsidRDefault="002B731B" w:rsidP="006A3186">
      <w:pPr>
        <w:spacing w:beforeLines="50"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Generally a UE is aware of the network type when it tries to access a network. The network type may be deduced based on the PLMN id, common TA value, and so on. For example, in HAPS the indicated common TA value is significantly smaller than that of the satellite networks. A UE may needn</w:t>
      </w:r>
      <w:r>
        <w:rPr>
          <w:rFonts w:ascii="Times New Roman" w:eastAsia="宋体" w:hAnsi="Times New Roman" w:cs="Times New Roman"/>
          <w:sz w:val="20"/>
          <w:szCs w:val="20"/>
        </w:rPr>
        <w:t>’</w:t>
      </w:r>
      <w:r>
        <w:rPr>
          <w:rFonts w:ascii="Times New Roman" w:eastAsia="宋体" w:hAnsi="Times New Roman" w:cs="Times New Roman" w:hint="eastAsia"/>
          <w:sz w:val="20"/>
          <w:szCs w:val="20"/>
        </w:rPr>
        <w:t>t extra bits to indicate the network type, at least for HAPS.</w:t>
      </w:r>
    </w:p>
    <w:p w:rsidR="00A64259" w:rsidRDefault="002B731B">
      <w:p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18: </w:t>
      </w:r>
      <w:r>
        <w:rPr>
          <w:rFonts w:ascii="Times New Roman" w:eastAsia="宋体" w:hAnsi="Times New Roman" w:hint="eastAsia"/>
          <w:i/>
          <w:sz w:val="20"/>
          <w:szCs w:val="20"/>
        </w:rPr>
        <w:t>UE can be assumed to know the accessing network type without extra signallings, at least for HAPS.</w:t>
      </w:r>
    </w:p>
    <w:p w:rsidR="00A64259" w:rsidRDefault="002B731B">
      <w:pPr>
        <w:pStyle w:val="2"/>
        <w:numPr>
          <w:ilvl w:val="1"/>
          <w:numId w:val="9"/>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Orbital parameter</w:t>
      </w:r>
      <w:r>
        <w:rPr>
          <w:rFonts w:ascii="Times New Roman" w:eastAsia="宋体" w:hAnsi="Times New Roman" w:cs="Times New Roman"/>
          <w:sz w:val="24"/>
          <w:szCs w:val="24"/>
          <w:lang w:val="en-US"/>
        </w:rPr>
        <w:t xml:space="preserve"> ephemeris </w:t>
      </w:r>
      <w:r>
        <w:rPr>
          <w:rFonts w:ascii="Times New Roman" w:eastAsia="宋体" w:hAnsi="Times New Roman" w:cs="Times New Roman" w:hint="eastAsia"/>
          <w:sz w:val="24"/>
          <w:szCs w:val="24"/>
          <w:lang w:val="en-US"/>
        </w:rPr>
        <w:t>format</w:t>
      </w:r>
    </w:p>
    <w:p w:rsidR="00A64259" w:rsidRDefault="002B731B">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For the format based on orbital elements, the state of a satellite is determined by the orbit parameters and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s instantaneous angle in the orbit. In order to reduce signalling, one method is to provide a reference ephemeris to the UEs in advance, and broadcast the delta correction. Considering the flexible to support large number of satellites, to store the reference ephemeris of every satellite in every UEs may cost large memory. Meanwhile, the number of orbits is generally not large. Therefore, a practical solution is to store or indicate the orbits to the UEs, i.e., the first five parameters are pre-provisioned. Then a satellite will broadcast the following parameters.</w:t>
      </w:r>
    </w:p>
    <w:p w:rsidR="00A64259" w:rsidRDefault="002B731B">
      <w:pPr>
        <w:numPr>
          <w:ilvl w:val="0"/>
          <w:numId w:val="13"/>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Orbit index</w:t>
      </w:r>
    </w:p>
    <w:p w:rsidR="00A64259" w:rsidRDefault="002B731B">
      <w:pPr>
        <w:numPr>
          <w:ilvl w:val="0"/>
          <w:numId w:val="13"/>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Delta correction</w:t>
      </w:r>
    </w:p>
    <w:p w:rsidR="00A64259" w:rsidRDefault="002B731B">
      <w:pPr>
        <w:numPr>
          <w:ilvl w:val="0"/>
          <w:numId w:val="13"/>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Mean anomaly M [rad] at epoch time t</w:t>
      </w:r>
      <w:r>
        <w:rPr>
          <w:rFonts w:ascii="Times New Roman" w:eastAsia="宋体" w:hAnsi="Times New Roman" w:cs="Times New Roman" w:hint="eastAsia"/>
          <w:position w:val="-14"/>
          <w:sz w:val="20"/>
          <w:szCs w:val="20"/>
          <w:vertAlign w:val="subscript"/>
        </w:rPr>
        <w:t>0</w:t>
      </w:r>
    </w:p>
    <w:p w:rsidR="00A64259" w:rsidRDefault="002B731B">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The main reason for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s deviation from the nominal orbit is the perturbation. The format based on state vectors is more suitable to model the perturbation. So the delta correction can be in the form of PV.</w:t>
      </w:r>
    </w:p>
    <w:p w:rsidR="00A64259" w:rsidRDefault="002B731B">
      <w:pPr>
        <w:tabs>
          <w:tab w:val="left" w:pos="420"/>
        </w:tabs>
        <w:spacing w:after="120"/>
        <w:ind w:left="420"/>
        <w:rPr>
          <w:rFonts w:ascii="Times New Roman" w:eastAsia="宋体" w:hAnsi="Times New Roman" w:cs="Times New Roman"/>
          <w:i/>
          <w:iCs/>
          <w:position w:val="-14"/>
          <w:sz w:val="20"/>
          <w:szCs w:val="20"/>
        </w:rPr>
      </w:pPr>
      <w:r>
        <w:rPr>
          <w:rFonts w:ascii="Times New Roman" w:eastAsia="宋体" w:hAnsi="Times New Roman" w:cs="Times New Roman" w:hint="eastAsia"/>
          <w:b/>
          <w:bCs/>
          <w:i/>
          <w:iCs/>
          <w:position w:val="-14"/>
          <w:sz w:val="20"/>
          <w:szCs w:val="20"/>
        </w:rPr>
        <w:t>Proposal 19:</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A64259" w:rsidRDefault="002B731B">
      <w:pPr>
        <w:numPr>
          <w:ilvl w:val="0"/>
          <w:numId w:val="14"/>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w:t>
      </w:r>
      <w:r>
        <w:rPr>
          <w:rFonts w:ascii="Times New Roman" w:eastAsia="宋体" w:hAnsi="Times New Roman" w:cs="Times New Roman" w:hint="eastAsia"/>
          <w:position w:val="-14"/>
          <w:sz w:val="20"/>
          <w:szCs w:val="20"/>
        </w:rPr>
        <w:t>pre-provisioned</w:t>
      </w:r>
      <w:r>
        <w:rPr>
          <w:rFonts w:ascii="Times New Roman" w:eastAsia="宋体" w:hAnsi="Times New Roman" w:cs="Times New Roman" w:hint="eastAsia"/>
          <w:i/>
          <w:iCs/>
          <w:position w:val="-14"/>
          <w:sz w:val="20"/>
          <w:szCs w:val="20"/>
        </w:rPr>
        <w:t xml:space="preserve">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A64259" w:rsidRDefault="002B731B">
      <w:pPr>
        <w:numPr>
          <w:ilvl w:val="0"/>
          <w:numId w:val="14"/>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w:t>
      </w:r>
    </w:p>
    <w:p w:rsidR="00A64259" w:rsidRDefault="002B731B">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A64259" w:rsidRDefault="002B731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proposals and observations:</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hint="eastAsia"/>
          <w:b/>
          <w:i/>
          <w:sz w:val="20"/>
          <w:szCs w:val="20"/>
        </w:rPr>
        <w:t>Observation 1</w:t>
      </w:r>
      <w:r>
        <w:rPr>
          <w:rFonts w:ascii="Times New Roman" w:eastAsia="宋体" w:hAnsi="Times New Roman"/>
          <w:b/>
          <w:i/>
          <w:sz w:val="20"/>
          <w:szCs w:val="20"/>
        </w:rPr>
        <w:t xml:space="preserve">: </w:t>
      </w:r>
      <w:r>
        <w:rPr>
          <w:rFonts w:ascii="Times New Roman" w:eastAsia="宋体" w:hAnsi="Times New Roman" w:hint="eastAsia"/>
          <w:i/>
          <w:sz w:val="20"/>
          <w:szCs w:val="20"/>
        </w:rPr>
        <w:t>Timing drift rate is recommended to be included in common TA parameters to reduce gNB complexity on handling feeder link RTT variation.</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hint="eastAsia"/>
          <w:b/>
          <w:i/>
          <w:sz w:val="20"/>
          <w:szCs w:val="20"/>
        </w:rPr>
        <w:t>Observation 2</w:t>
      </w:r>
      <w:r>
        <w:rPr>
          <w:rFonts w:ascii="Times New Roman" w:eastAsia="宋体" w:hAnsi="Times New Roman"/>
          <w:b/>
          <w:i/>
          <w:sz w:val="20"/>
          <w:szCs w:val="20"/>
        </w:rPr>
        <w:t xml:space="preserve">: </w:t>
      </w:r>
      <w:r>
        <w:rPr>
          <w:rFonts w:ascii="Times New Roman" w:eastAsia="宋体" w:hAnsi="Times New Roman" w:hint="eastAsia"/>
          <w:i/>
          <w:sz w:val="20"/>
          <w:szCs w:val="20"/>
        </w:rPr>
        <w:t>The common TA error, i.e., offset between common TA according to the parameters provided by the network and the actual feeder link RTT, should be small enough to ensure low gNB complexity and good performance.</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3: </w:t>
      </w:r>
      <w:r>
        <w:rPr>
          <w:rFonts w:ascii="Times New Roman" w:eastAsia="宋体" w:hAnsi="Times New Roman"/>
          <w:i/>
          <w:sz w:val="20"/>
          <w:szCs w:val="20"/>
        </w:rPr>
        <w:t>The required bit size for broadcasting of TA parameters for LEO is:</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common TA in a field of 21 bits</w:t>
      </w:r>
      <w:r>
        <w:rPr>
          <w:rFonts w:ascii="Times New Roman" w:hAnsi="Times New Roman" w:cs="Times New Roman"/>
          <w:i/>
          <w:iCs/>
          <w:sz w:val="20"/>
          <w:szCs w:val="20"/>
        </w:rPr>
        <w:t>;</w:t>
      </w:r>
      <w:r>
        <w:rPr>
          <w:rFonts w:ascii="Times New Roman" w:hAnsi="Times New Roman" w:cs="Times New Roman" w:hint="eastAsia"/>
          <w:i/>
          <w:iCs/>
          <w:sz w:val="20"/>
          <w:szCs w:val="20"/>
        </w:rPr>
        <w:t xml:space="preserve"> </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first order drift rate in a field of 12 bits</w:t>
      </w:r>
      <w:r>
        <w:rPr>
          <w:rFonts w:ascii="Times New Roman" w:hAnsi="Times New Roman" w:cs="Times New Roman"/>
          <w:i/>
          <w:iCs/>
          <w:sz w:val="20"/>
          <w:szCs w:val="20"/>
        </w:rPr>
        <w:t>;</w:t>
      </w:r>
    </w:p>
    <w:p w:rsidR="00A64259" w:rsidRDefault="002B731B">
      <w:pPr>
        <w:numPr>
          <w:ilvl w:val="1"/>
          <w:numId w:val="11"/>
        </w:numPr>
        <w:spacing w:beforeLines="50" w:before="120" w:afterLines="50" w:after="120" w:line="240" w:lineRule="auto"/>
        <w:rPr>
          <w:rFonts w:ascii="Times New Roman" w:hAnsi="Times New Roman" w:cs="Times New Roman"/>
          <w:i/>
          <w:iCs/>
          <w:sz w:val="20"/>
          <w:szCs w:val="20"/>
        </w:rPr>
      </w:pPr>
      <w:r>
        <w:rPr>
          <w:rFonts w:ascii="Times New Roman" w:hAnsi="Times New Roman" w:cs="Times New Roman"/>
          <w:i/>
          <w:iCs/>
          <w:sz w:val="20"/>
          <w:szCs w:val="20"/>
        </w:rPr>
        <w:t xml:space="preserve">one </w:t>
      </w:r>
      <w:r>
        <w:rPr>
          <w:rFonts w:ascii="Times New Roman" w:hAnsi="Times New Roman" w:cs="Times New Roman" w:hint="eastAsia"/>
          <w:i/>
          <w:iCs/>
          <w:sz w:val="20"/>
          <w:szCs w:val="20"/>
        </w:rPr>
        <w:t>second order drift rate in a field of 9 bits</w:t>
      </w:r>
      <w:r>
        <w:rPr>
          <w:rFonts w:ascii="Times New Roman" w:hAnsi="Times New Roman" w:cs="Times New Roman"/>
          <w:i/>
          <w:iCs/>
          <w:sz w:val="20"/>
          <w:szCs w:val="20"/>
        </w:rPr>
        <w:t xml:space="preserve"> if supported;</w:t>
      </w:r>
    </w:p>
    <w:p w:rsidR="00A64259" w:rsidRDefault="002B731B">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Observation</w:t>
      </w:r>
      <w:r>
        <w:rPr>
          <w:rFonts w:ascii="Times New Roman" w:eastAsia="宋体" w:hAnsi="Times New Roman" w:hint="eastAsia"/>
          <w:b/>
          <w:i/>
          <w:sz w:val="20"/>
          <w:szCs w:val="20"/>
        </w:rPr>
        <w:t xml:space="preserve"> 4: </w:t>
      </w:r>
      <w:r>
        <w:rPr>
          <w:rFonts w:ascii="Times New Roman" w:eastAsia="宋体" w:hAnsi="Times New Roman"/>
          <w:i/>
          <w:sz w:val="20"/>
          <w:szCs w:val="20"/>
        </w:rPr>
        <w:t xml:space="preserve">The required bit size for broadcasting of TA parameters for GEO is </w:t>
      </w:r>
      <w:r>
        <w:rPr>
          <w:rFonts w:ascii="Times New Roman" w:eastAsia="宋体" w:hAnsi="Times New Roman" w:hint="eastAsia"/>
          <w:i/>
          <w:sz w:val="20"/>
          <w:szCs w:val="20"/>
        </w:rPr>
        <w:t>24 bits.</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i/>
          <w:sz w:val="20"/>
          <w:szCs w:val="20"/>
        </w:rPr>
        <w:t xml:space="preserve">Indication of the </w:t>
      </w:r>
      <w:r>
        <w:rPr>
          <w:rFonts w:ascii="Times New Roman" w:eastAsia="宋体" w:hAnsi="Times New Roman"/>
          <w:bCs/>
          <w:i/>
          <w:sz w:val="20"/>
          <w:szCs w:val="20"/>
        </w:rPr>
        <w:t>f</w:t>
      </w:r>
      <w:r>
        <w:rPr>
          <w:rFonts w:ascii="Times New Roman" w:eastAsia="宋体" w:hAnsi="Times New Roman" w:cs="Times New Roman" w:hint="eastAsia"/>
          <w:i/>
          <w:sz w:val="20"/>
          <w:szCs w:val="20"/>
        </w:rPr>
        <w:t xml:space="preserve">irst and second order common TA drift rates should be </w:t>
      </w:r>
      <w:r>
        <w:rPr>
          <w:rFonts w:ascii="Times New Roman" w:eastAsia="宋体" w:hAnsi="Times New Roman"/>
          <w:i/>
          <w:sz w:val="20"/>
          <w:szCs w:val="20"/>
        </w:rPr>
        <w:t>supported</w:t>
      </w:r>
      <w:r>
        <w:rPr>
          <w:rFonts w:ascii="Times New Roman" w:eastAsia="宋体" w:hAnsi="Times New Roman" w:cs="Times New Roman" w:hint="eastAsia"/>
          <w:i/>
          <w:sz w:val="20"/>
          <w:szCs w:val="20"/>
        </w:rPr>
        <w:t xml:space="preserve"> along with common TA</w:t>
      </w:r>
      <w:r>
        <w:rPr>
          <w:rFonts w:ascii="Times New Roman" w:eastAsia="宋体" w:hAnsi="Times New Roman" w:hint="eastAsia"/>
          <w:i/>
          <w:sz w:val="20"/>
          <w:szCs w:val="20"/>
        </w:rPr>
        <w:t>.</w:t>
      </w:r>
    </w:p>
    <w:p w:rsidR="00A64259" w:rsidRDefault="002B731B">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Pr>
          <w:rFonts w:ascii="Times New Roman" w:eastAsia="宋体" w:hAnsi="Times New Roman"/>
          <w:i/>
          <w:sz w:val="20"/>
          <w:szCs w:val="20"/>
        </w:rPr>
        <w:t>Following solutions can be considered to further optimize the overhead of signaling:</w:t>
      </w:r>
    </w:p>
    <w:p w:rsidR="00A64259" w:rsidRDefault="002B731B">
      <w:pPr>
        <w:pStyle w:val="ad"/>
        <w:numPr>
          <w:ilvl w:val="0"/>
          <w:numId w:val="10"/>
        </w:numPr>
        <w:spacing w:beforeLines="50" w:before="120" w:after="0" w:line="240" w:lineRule="auto"/>
        <w:ind w:firstLine="400"/>
        <w:jc w:val="both"/>
        <w:rPr>
          <w:rFonts w:ascii="Times New Roman" w:eastAsia="宋体" w:hAnsi="Times New Roman" w:cs="Times New Roman"/>
          <w:i/>
          <w:sz w:val="20"/>
          <w:szCs w:val="20"/>
        </w:rPr>
      </w:pPr>
      <w:r>
        <w:rPr>
          <w:rFonts w:ascii="Times New Roman" w:eastAsia="宋体" w:hAnsi="Times New Roman"/>
          <w:bCs/>
          <w:i/>
          <w:sz w:val="20"/>
          <w:szCs w:val="20"/>
        </w:rPr>
        <w:lastRenderedPageBreak/>
        <w:t xml:space="preserve">Indication of </w:t>
      </w:r>
      <w:r>
        <w:rPr>
          <w:rFonts w:ascii="Times New Roman" w:eastAsia="宋体" w:hAnsi="Times New Roman" w:hint="eastAsia"/>
          <w:bCs/>
          <w:i/>
          <w:sz w:val="20"/>
          <w:szCs w:val="20"/>
        </w:rPr>
        <w:t xml:space="preserve">third </w:t>
      </w:r>
      <w:r>
        <w:rPr>
          <w:rFonts w:ascii="Times New Roman" w:eastAsia="宋体" w:hAnsi="Times New Roman"/>
          <w:bCs/>
          <w:i/>
          <w:sz w:val="20"/>
          <w:szCs w:val="20"/>
        </w:rPr>
        <w:t>order common TA drift rate.</w:t>
      </w:r>
    </w:p>
    <w:p w:rsidR="00A64259" w:rsidRDefault="002B731B">
      <w:pPr>
        <w:pStyle w:val="ad"/>
        <w:numPr>
          <w:ilvl w:val="0"/>
          <w:numId w:val="10"/>
        </w:numPr>
        <w:spacing w:beforeLines="50" w:before="120" w:after="0" w:line="240" w:lineRule="auto"/>
        <w:ind w:firstLine="400"/>
        <w:jc w:val="both"/>
        <w:rPr>
          <w:rFonts w:ascii="Times New Roman" w:eastAsia="宋体" w:hAnsi="Times New Roman" w:cs="Times New Roman"/>
          <w:b/>
          <w:i/>
          <w:sz w:val="20"/>
          <w:szCs w:val="20"/>
        </w:rPr>
      </w:pPr>
      <w:r>
        <w:rPr>
          <w:rFonts w:ascii="Times New Roman" w:eastAsia="宋体" w:hAnsi="Times New Roman"/>
          <w:bCs/>
          <w:i/>
          <w:sz w:val="20"/>
          <w:szCs w:val="20"/>
        </w:rPr>
        <w:t xml:space="preserve">Indication of multiple set of {common TA, </w:t>
      </w:r>
      <w:r>
        <w:rPr>
          <w:rFonts w:ascii="Times New Roman" w:eastAsia="宋体" w:hAnsi="Times New Roman" w:hint="eastAsia"/>
          <w:bCs/>
          <w:i/>
          <w:sz w:val="20"/>
          <w:szCs w:val="20"/>
        </w:rPr>
        <w:t>first order</w:t>
      </w:r>
      <w:r>
        <w:rPr>
          <w:rFonts w:ascii="Times New Roman" w:eastAsia="宋体" w:hAnsi="Times New Roman"/>
          <w:bCs/>
          <w:i/>
          <w:sz w:val="20"/>
          <w:szCs w:val="20"/>
        </w:rPr>
        <w:t xml:space="preserve"> drift rate</w:t>
      </w:r>
      <w:r>
        <w:rPr>
          <w:rFonts w:ascii="Times New Roman" w:eastAsia="宋体" w:hAnsi="Times New Roman" w:hint="eastAsia"/>
          <w:bCs/>
          <w:i/>
          <w:sz w:val="20"/>
          <w:szCs w:val="20"/>
        </w:rPr>
        <w:t>, second order drift rate</w:t>
      </w:r>
      <w:r>
        <w:rPr>
          <w:rFonts w:ascii="Times New Roman" w:eastAsia="宋体" w:hAnsi="Times New Roman"/>
          <w:bCs/>
          <w:i/>
          <w:sz w:val="20"/>
          <w:szCs w:val="20"/>
        </w:rPr>
        <w:t>} with different applicable timing</w:t>
      </w:r>
    </w:p>
    <w:p w:rsidR="00A64259" w:rsidRDefault="002B731B">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eastAsia="宋体" w:hAnsi="Times New Roman" w:hint="eastAsia"/>
          <w:i/>
          <w:sz w:val="20"/>
          <w:szCs w:val="20"/>
        </w:rPr>
        <w:t xml:space="preserve">The signaling granularity of common TA can be chosen </w:t>
      </w:r>
      <w:r>
        <w:rPr>
          <w:rFonts w:ascii="Times New Roman" w:eastAsia="宋体" w:hAnsi="Times New Roman"/>
          <w:i/>
          <w:sz w:val="20"/>
          <w:szCs w:val="20"/>
        </w:rPr>
        <w:t>as</w:t>
      </w:r>
      <w:r>
        <w:rPr>
          <w:rFonts w:ascii="Times New Roman" w:eastAsia="宋体" w:hAnsi="Times New Roman" w:hint="eastAsia"/>
          <w:i/>
          <w:sz w:val="20"/>
          <w:szCs w:val="20"/>
        </w:rPr>
        <w:t xml:space="preserve"> </w:t>
      </w:r>
      <w:r>
        <w:rPr>
          <w:rFonts w:ascii="Times New Roman" w:eastAsia="宋体" w:hAnsi="Times New Roman" w:cs="Times New Roman" w:hint="eastAsia"/>
          <w:position w:val="-12"/>
          <w:sz w:val="20"/>
          <w:szCs w:val="20"/>
        </w:rPr>
        <w:object w:dxaOrig="598" w:dyaOrig="377" w14:anchorId="180617C4">
          <v:shape id="_x0000_i1092" type="#_x0000_t75" style="width:29.9pt;height:18.85pt" o:ole="">
            <v:imagedata r:id="rId44" o:title=""/>
          </v:shape>
          <o:OLEObject Type="Embed" ProgID="Equation.KSEE3" ShapeID="_x0000_i1092" DrawAspect="Content" ObjectID="_1694606382" r:id="rId109"/>
        </w:object>
      </w:r>
      <w:r>
        <w:rPr>
          <w:rFonts w:ascii="Times New Roman" w:eastAsia="宋体" w:hAnsi="Times New Roman"/>
          <w:i/>
          <w:sz w:val="20"/>
          <w:szCs w:val="20"/>
        </w:rPr>
        <w:t>.</w:t>
      </w:r>
      <w:r>
        <w:rPr>
          <w:rFonts w:ascii="Times New Roman" w:eastAsia="宋体" w:hAnsi="Times New Roman" w:hint="eastAsia"/>
          <w:i/>
          <w:sz w:val="20"/>
          <w:szCs w:val="20"/>
        </w:rPr>
        <w:t xml:space="preserve"> The signaling granularity of first order drift rate can be chosen as 1.11*10</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 xml:space="preserve"> us/s. The signaling granularity of second order drift rate can be chosen as 1.13*10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w:t>
      </w:r>
    </w:p>
    <w:p w:rsidR="00A64259" w:rsidRDefault="002B731B">
      <w:pPr>
        <w:ind w:leftChars="200" w:left="440"/>
        <w:jc w:val="both"/>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eastAsia="宋体" w:hAnsi="Times New Roman" w:hint="eastAsia"/>
          <w:i/>
          <w:sz w:val="20"/>
          <w:szCs w:val="20"/>
        </w:rPr>
        <w:t>The over pre-compensation of TA during RACH procedure should be handled by UE via implementation.</w:t>
      </w:r>
    </w:p>
    <w:p w:rsidR="00A64259" w:rsidRDefault="002B731B">
      <w:pPr>
        <w:spacing w:beforeLines="50" w:before="120" w:afterLines="50" w:after="120" w:line="240" w:lineRule="auto"/>
        <w:ind w:left="420"/>
        <w:jc w:val="both"/>
        <w:rPr>
          <w:rFonts w:ascii="Times New Roman" w:hAnsi="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hAnsi="Times New Roman"/>
          <w:i/>
          <w:iCs/>
          <w:sz w:val="20"/>
          <w:szCs w:val="20"/>
        </w:rPr>
        <w:t xml:space="preserve">When TAC </w:t>
      </w:r>
      <w:r>
        <w:rPr>
          <w:rFonts w:ascii="Times New Roman" w:hAnsi="Times New Roman"/>
          <w:sz w:val="20"/>
          <w:szCs w:val="20"/>
        </w:rPr>
        <w:t>(</w:t>
      </w:r>
      <w:r>
        <w:rPr>
          <w:rFonts w:ascii="Times New Roman" w:hAnsi="Times New Roman"/>
          <w:position w:val="-10"/>
          <w:sz w:val="20"/>
          <w:szCs w:val="20"/>
        </w:rPr>
        <w:object w:dxaOrig="321" w:dyaOrig="343" w14:anchorId="016EA737">
          <v:shape id="_x0000_i1093" type="#_x0000_t75" style="width:16.05pt;height:17.15pt" o:ole="">
            <v:imagedata r:id="rId10" o:title=""/>
          </v:shape>
          <o:OLEObject Type="Embed" ProgID="Equation.KSEE3" ShapeID="_x0000_i1093" DrawAspect="Content" ObjectID="_1694606383" r:id="rId110"/>
        </w:object>
      </w:r>
      <w:r>
        <w:rPr>
          <w:rFonts w:ascii="Times New Roman" w:hAnsi="Times New Roman" w:hint="eastAsia"/>
          <w:sz w:val="20"/>
          <w:szCs w:val="20"/>
        </w:rPr>
        <w:t>)</w:t>
      </w:r>
      <w:r>
        <w:rPr>
          <w:rFonts w:ascii="Times New Roman" w:hAnsi="Times New Roman"/>
          <w:i/>
          <w:iCs/>
          <w:sz w:val="20"/>
          <w:szCs w:val="20"/>
        </w:rPr>
        <w:t xml:space="preserve"> in msg2/msgB is received, UE receives the first adjustment and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935411">
        <w:rPr>
          <w:rFonts w:ascii="Times New Roman" w:hAnsi="Times New Roman"/>
          <w:i/>
          <w:iCs/>
          <w:sz w:val="20"/>
          <w:szCs w:val="20"/>
        </w:rPr>
        <w:pict w14:anchorId="39A87A71">
          <v:shape id="_x0000_i1094" type="#_x0000_t75" style="width:17.15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Pr>
          <w:rFonts w:ascii="Times New Roman" w:hAnsi="Times New Roman"/>
          <w:i/>
          <w:iCs/>
          <w:position w:val="-10"/>
          <w:sz w:val="20"/>
          <w:szCs w:val="20"/>
        </w:rPr>
        <w:object w:dxaOrig="465" w:dyaOrig="343" w14:anchorId="783CB2F2">
          <v:shape id="_x0000_i1095" type="#_x0000_t75" style="width:23.25pt;height:17.15pt" o:ole="">
            <v:imagedata r:id="rId13" o:title=""/>
          </v:shape>
          <o:OLEObject Type="Embed" ProgID="Equation.KSEE3" ShapeID="_x0000_i1095" DrawAspect="Content" ObjectID="_1694606384" r:id="rId111"/>
        </w:object>
      </w:r>
      <w:r>
        <w:rPr>
          <w:rFonts w:ascii="Times New Roman" w:hAnsi="Times New Roman"/>
          <w:i/>
          <w:iCs/>
          <w:sz w:val="20"/>
          <w:szCs w:val="20"/>
        </w:rPr>
        <w:fldChar w:fldCharType="end"/>
      </w:r>
      <w:r>
        <w:rPr>
          <w:rFonts w:ascii="Times New Roman" w:hAnsi="Times New Roman"/>
          <w:i/>
          <w:iCs/>
          <w:sz w:val="20"/>
          <w:szCs w:val="20"/>
        </w:rPr>
        <w:t xml:space="preserve"> is updated as follows:</w:t>
      </w:r>
    </w:p>
    <w:p w:rsidR="00A64259" w:rsidRDefault="002B731B">
      <w:pPr>
        <w:spacing w:beforeLines="50" w:before="120" w:afterLines="50" w:after="120" w:line="240" w:lineRule="auto"/>
        <w:ind w:left="420"/>
        <w:jc w:val="center"/>
        <w:rPr>
          <w:rFonts w:ascii="Times New Roman" w:hAnsi="Times New Roman"/>
          <w:i/>
          <w:iCs/>
          <w:sz w:val="20"/>
          <w:szCs w:val="20"/>
        </w:rPr>
      </w:pPr>
      <w:r>
        <w:rPr>
          <w:rFonts w:ascii="Times New Roman" w:eastAsia="宋体" w:hAnsi="Times New Roman" w:cs="Times New Roman" w:hint="eastAsia"/>
          <w:position w:val="-24"/>
          <w:sz w:val="20"/>
          <w:szCs w:val="20"/>
        </w:rPr>
        <w:object w:dxaOrig="2537" w:dyaOrig="631" w14:anchorId="061F4FF9">
          <v:shape id="_x0000_i1096" type="#_x0000_t75" style="width:126.85pt;height:31.55pt" o:ole="">
            <v:imagedata r:id="rId61" o:title=""/>
          </v:shape>
          <o:OLEObject Type="Embed" ProgID="Equation.KSEE3" ShapeID="_x0000_i1096" DrawAspect="Content" ObjectID="_1694606385" r:id="rId112"/>
        </w:object>
      </w:r>
      <w:r>
        <w:rPr>
          <w:rFonts w:ascii="Times New Roman" w:hAnsi="Times New Roman" w:hint="eastAsia"/>
          <w:i/>
          <w:iCs/>
          <w:sz w:val="20"/>
          <w:szCs w:val="20"/>
        </w:rPr>
        <w:t>,</w:t>
      </w:r>
    </w:p>
    <w:p w:rsidR="00A64259" w:rsidRDefault="002B731B">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hAnsi="Times New Roman" w:hint="eastAsia"/>
          <w:i/>
          <w:iCs/>
          <w:sz w:val="20"/>
          <w:szCs w:val="20"/>
        </w:rPr>
        <w:t xml:space="preserve">where </w:t>
      </w:r>
      <w:r>
        <w:rPr>
          <w:rFonts w:ascii="Times New Roman" w:eastAsia="宋体" w:hAnsi="Times New Roman" w:cs="Times New Roman" w:hint="eastAsia"/>
          <w:position w:val="-10"/>
          <w:sz w:val="20"/>
          <w:szCs w:val="20"/>
        </w:rPr>
        <w:object w:dxaOrig="277" w:dyaOrig="343" w14:anchorId="4BC1E78A">
          <v:shape id="_x0000_i1097" type="#_x0000_t75" style="width:13.85pt;height:17.15pt" o:ole="">
            <v:imagedata r:id="rId63" o:title=""/>
          </v:shape>
          <o:OLEObject Type="Embed" ProgID="Equation.KSEE3" ShapeID="_x0000_i1097" DrawAspect="Content" ObjectID="_1694606386" r:id="rId113"/>
        </w:object>
      </w:r>
      <w:r>
        <w:rPr>
          <w:rFonts w:ascii="Times New Roman" w:eastAsia="宋体" w:hAnsi="Times New Roman" w:cs="Times New Roman" w:hint="eastAsia"/>
          <w:position w:val="-14"/>
          <w:sz w:val="20"/>
          <w:szCs w:val="20"/>
        </w:rPr>
        <w:t xml:space="preserve"> </w:t>
      </w:r>
      <w:r>
        <w:rPr>
          <w:rFonts w:ascii="Times New Roman" w:hAnsi="Times New Roman" w:hint="eastAsia"/>
          <w:i/>
          <w:iCs/>
          <w:sz w:val="20"/>
          <w:szCs w:val="20"/>
        </w:rPr>
        <w:t xml:space="preserve">is the TAC filed in msg2/msgB and </w:t>
      </w:r>
      <w:r>
        <w:rPr>
          <w:rFonts w:ascii="Times New Roman" w:eastAsia="宋体" w:hAnsi="Times New Roman" w:cs="Times New Roman" w:hint="eastAsia"/>
          <w:position w:val="-14"/>
          <w:sz w:val="20"/>
          <w:szCs w:val="20"/>
        </w:rPr>
        <w:object w:dxaOrig="1097" w:dyaOrig="377" w14:anchorId="487BD008">
          <v:shape id="_x0000_i1098" type="#_x0000_t75" style="width:55.4pt;height:18.85pt" o:ole="">
            <v:imagedata r:id="rId65" o:title=""/>
          </v:shape>
          <o:OLEObject Type="Embed" ProgID="Equation.KSEE3" ShapeID="_x0000_i1098" DrawAspect="Content" ObjectID="_1694606387" r:id="rId114"/>
        </w:object>
      </w:r>
      <w:r>
        <w:rPr>
          <w:rFonts w:ascii="Times New Roman" w:hAnsi="Times New Roman" w:hint="eastAsia"/>
          <w:i/>
          <w:iCs/>
          <w:sz w:val="20"/>
          <w:szCs w:val="20"/>
        </w:rPr>
        <w:t>.</w:t>
      </w:r>
    </w:p>
    <w:p w:rsidR="00A64259" w:rsidRDefault="002B731B">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hint="eastAsia"/>
          <w:bCs/>
          <w:i/>
          <w:sz w:val="20"/>
          <w:szCs w:val="20"/>
        </w:rPr>
        <w:t xml:space="preserve">In RRC_CONNECTED state in NR NTN, </w:t>
      </w:r>
      <w:r>
        <w:rPr>
          <w:rFonts w:ascii="Times New Roman" w:eastAsia="宋体" w:hAnsi="Times New Roman" w:cs="Times New Roman" w:hint="eastAsia"/>
          <w:position w:val="-14"/>
          <w:sz w:val="20"/>
          <w:szCs w:val="20"/>
        </w:rPr>
        <w:object w:dxaOrig="1185" w:dyaOrig="377" w14:anchorId="0DC68823">
          <v:shape id="_x0000_i1099" type="#_x0000_t75" style="width:59.25pt;height:18.85pt" o:ole="">
            <v:imagedata r:id="rId51" o:title=""/>
          </v:shape>
          <o:OLEObject Type="Embed" ProgID="Equation.KSEE3" ShapeID="_x0000_i1099" DrawAspect="Content" ObjectID="_1694606388" r:id="rId115"/>
        </w:object>
      </w:r>
      <w:r>
        <w:rPr>
          <w:rFonts w:ascii="Times New Roman" w:eastAsia="宋体" w:hAnsi="Times New Roman" w:hint="eastAsia"/>
          <w:bCs/>
          <w:i/>
          <w:sz w:val="20"/>
          <w:szCs w:val="20"/>
        </w:rPr>
        <w:t xml:space="preserve"> is updated autonomously by the UE based on its GNSS acquired position and satellite ephemeris via implementation.</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bCs/>
          <w:i/>
          <w:sz w:val="20"/>
          <w:szCs w:val="20"/>
        </w:rPr>
        <w:t xml:space="preserve">In RRC_CONNECTED state in NR NTN, </w:t>
      </w:r>
      <w:r>
        <w:rPr>
          <w:rFonts w:ascii="Times New Roman" w:eastAsia="宋体" w:hAnsi="Times New Roman" w:cs="Times New Roman" w:hint="eastAsia"/>
          <w:position w:val="-14"/>
          <w:sz w:val="20"/>
          <w:szCs w:val="20"/>
        </w:rPr>
        <w:object w:dxaOrig="942" w:dyaOrig="377" w14:anchorId="5387166B">
          <v:shape id="_x0000_i1100" type="#_x0000_t75" style="width:47.1pt;height:18.85pt" o:ole="">
            <v:imagedata r:id="rId53" o:title=""/>
          </v:shape>
          <o:OLEObject Type="Embed" ProgID="Equation.KSEE3" ShapeID="_x0000_i1100" DrawAspect="Content" ObjectID="_1694606389" r:id="rId116"/>
        </w:object>
      </w:r>
      <w:r>
        <w:rPr>
          <w:rFonts w:ascii="Times New Roman" w:eastAsia="宋体" w:hAnsi="Times New Roman" w:hint="eastAsia"/>
          <w:bCs/>
          <w:i/>
          <w:sz w:val="20"/>
          <w:szCs w:val="20"/>
        </w:rPr>
        <w:t xml:space="preserve"> is updated autonomously by the UE based on the parameters acquired from SIB as follows:</w:t>
      </w:r>
    </w:p>
    <w:p w:rsidR="00A64259" w:rsidRDefault="002B731B">
      <w:pPr>
        <w:spacing w:beforeLines="50" w:before="120" w:afterLines="50" w:after="120" w:line="240" w:lineRule="auto"/>
        <w:ind w:left="420"/>
        <w:jc w:val="center"/>
        <w:rPr>
          <w:rFonts w:ascii="Times New Roman" w:eastAsia="宋体" w:hAnsi="Times New Roman"/>
          <w:bCs/>
          <w:i/>
          <w:sz w:val="20"/>
          <w:szCs w:val="20"/>
        </w:rPr>
      </w:pPr>
      <w:r>
        <w:rPr>
          <w:rFonts w:ascii="Times New Roman" w:eastAsia="宋体" w:hAnsi="Times New Roman" w:cs="Times New Roman" w:hint="eastAsia"/>
          <w:position w:val="-58"/>
          <w:sz w:val="20"/>
          <w:szCs w:val="20"/>
        </w:rPr>
        <w:object w:dxaOrig="6846" w:dyaOrig="1263" w14:anchorId="19F675CF">
          <v:shape id="_x0000_i1101" type="#_x0000_t75" style="width:342.3pt;height:63.15pt" o:ole="">
            <v:imagedata r:id="rId75" o:title=""/>
          </v:shape>
          <o:OLEObject Type="Embed" ProgID="Equation.KSEE3" ShapeID="_x0000_i1101" DrawAspect="Content" ObjectID="_1694606390" r:id="rId117"/>
        </w:object>
      </w:r>
      <w:r>
        <w:rPr>
          <w:rFonts w:ascii="Times New Roman" w:eastAsia="宋体" w:hAnsi="Times New Roman" w:hint="eastAsia"/>
          <w:bCs/>
          <w:i/>
          <w:sz w:val="20"/>
          <w:szCs w:val="20"/>
        </w:rPr>
        <w:t>,</w:t>
      </w:r>
    </w:p>
    <w:p w:rsidR="00A64259" w:rsidRDefault="002B731B">
      <w:pPr>
        <w:pStyle w:val="ad"/>
        <w:numPr>
          <w:ilvl w:val="3"/>
          <w:numId w:val="0"/>
        </w:numPr>
        <w:spacing w:after="0" w:line="240" w:lineRule="auto"/>
        <w:ind w:leftChars="200" w:left="440"/>
        <w:rPr>
          <w:rFonts w:ascii="Times New Roman" w:eastAsia="宋体" w:hAnsi="Times New Roman"/>
          <w:bCs/>
          <w:i/>
          <w:sz w:val="20"/>
          <w:szCs w:val="20"/>
        </w:rPr>
      </w:pPr>
      <w:r>
        <w:rPr>
          <w:rFonts w:ascii="Times New Roman" w:eastAsia="宋体" w:hAnsi="Times New Roman" w:hint="eastAsia"/>
          <w:bCs/>
          <w:i/>
          <w:sz w:val="20"/>
          <w:szCs w:val="20"/>
        </w:rPr>
        <w:t xml:space="preserve">where </w:t>
      </w:r>
      <w:r>
        <w:rPr>
          <w:rFonts w:ascii="Times New Roman" w:eastAsia="宋体" w:hAnsi="Times New Roman" w:cs="Times New Roman" w:hint="eastAsia"/>
          <w:position w:val="-14"/>
          <w:sz w:val="20"/>
          <w:szCs w:val="20"/>
        </w:rPr>
        <w:object w:dxaOrig="1119" w:dyaOrig="377" w14:anchorId="2EC7337F">
          <v:shape id="_x0000_i1102" type="#_x0000_t75" style="width:55.95pt;height:18.85pt" o:ole="">
            <v:imagedata r:id="rId77" o:title=""/>
          </v:shape>
          <o:OLEObject Type="Embed" ProgID="Equation.KSEE3" ShapeID="_x0000_i1102" DrawAspect="Content" ObjectID="_1694606391" r:id="rId118"/>
        </w:object>
      </w:r>
      <w:r>
        <w:rPr>
          <w:rFonts w:ascii="Times New Roman" w:eastAsia="宋体" w:hAnsi="Times New Roman" w:cs="Times New Roman" w:hint="eastAsia"/>
          <w:sz w:val="20"/>
          <w:szCs w:val="20"/>
        </w:rPr>
        <w:t xml:space="preserve"> </w:t>
      </w:r>
      <w:r>
        <w:rPr>
          <w:rFonts w:ascii="Times New Roman" w:eastAsia="宋体" w:hAnsi="Times New Roman" w:cs="Times New Roman"/>
          <w:i/>
          <w:iCs/>
          <w:sz w:val="20"/>
          <w:szCs w:val="20"/>
        </w:rPr>
        <w:t xml:space="preserve">is the broadcast common TA, </w:t>
      </w:r>
      <w:r>
        <w:rPr>
          <w:rFonts w:ascii="Times New Roman" w:eastAsia="宋体" w:hAnsi="Times New Roman" w:cs="Times New Roman" w:hint="eastAsia"/>
          <w:i/>
          <w:iCs/>
          <w:position w:val="-14"/>
          <w:sz w:val="20"/>
          <w:szCs w:val="20"/>
        </w:rPr>
        <w:object w:dxaOrig="1340" w:dyaOrig="377" w14:anchorId="61001D3C">
          <v:shape id="_x0000_i1103" type="#_x0000_t75" style="width:67pt;height:18.85pt" o:ole="">
            <v:imagedata r:id="rId79" o:title=""/>
          </v:shape>
          <o:OLEObject Type="Embed" ProgID="Equation.KSEE3" ShapeID="_x0000_i1103" DrawAspect="Content" ObjectID="_1694606392" r:id="rId119"/>
        </w:object>
      </w:r>
      <w:r>
        <w:rPr>
          <w:rFonts w:ascii="Times New Roman" w:eastAsia="宋体" w:hAnsi="Times New Roman" w:cs="Times New Roman" w:hint="eastAsia"/>
          <w:i/>
          <w:iCs/>
          <w:sz w:val="20"/>
          <w:szCs w:val="20"/>
        </w:rPr>
        <w:t xml:space="preserve"> and </w:t>
      </w:r>
      <w:r>
        <w:rPr>
          <w:rFonts w:ascii="Times New Roman" w:eastAsia="宋体" w:hAnsi="Times New Roman" w:cs="Times New Roman" w:hint="eastAsia"/>
          <w:i/>
          <w:iCs/>
          <w:position w:val="-14"/>
          <w:sz w:val="20"/>
          <w:szCs w:val="20"/>
        </w:rPr>
        <w:object w:dxaOrig="1351" w:dyaOrig="377" w14:anchorId="43B65641">
          <v:shape id="_x0000_i1104" type="#_x0000_t75" style="width:67.55pt;height:18.85pt" o:ole="">
            <v:imagedata r:id="rId81" o:title=""/>
          </v:shape>
          <o:OLEObject Type="Embed" ProgID="Equation.KSEE3" ShapeID="_x0000_i1104" DrawAspect="Content" ObjectID="_1694606393" r:id="rId120"/>
        </w:object>
      </w:r>
      <w:r>
        <w:rPr>
          <w:rFonts w:ascii="Times New Roman" w:eastAsia="宋体" w:hAnsi="Times New Roman" w:cs="Times New Roman" w:hint="eastAsia"/>
          <w:i/>
          <w:iCs/>
          <w:sz w:val="20"/>
          <w:szCs w:val="20"/>
        </w:rPr>
        <w:t xml:space="preserve"> are the first and second order common TA drift rate indicated by BS, </w:t>
      </w:r>
      <w:r>
        <w:rPr>
          <w:rFonts w:ascii="Times New Roman" w:eastAsia="宋体" w:hAnsi="Times New Roman" w:cs="Times New Roman" w:hint="eastAsia"/>
          <w:i/>
          <w:iCs/>
          <w:position w:val="-10"/>
          <w:sz w:val="20"/>
          <w:szCs w:val="20"/>
        </w:rPr>
        <w:object w:dxaOrig="343" w:dyaOrig="343" w14:anchorId="63F5CFA2">
          <v:shape id="_x0000_i1105" type="#_x0000_t75" style="width:17.15pt;height:17.15pt" o:ole="">
            <v:imagedata r:id="rId92" o:title=""/>
          </v:shape>
          <o:OLEObject Type="Embed" ProgID="Equation.KSEE3" ShapeID="_x0000_i1105" DrawAspect="Content" ObjectID="_1694606394" r:id="rId121"/>
        </w:object>
      </w:r>
      <w:r>
        <w:rPr>
          <w:rFonts w:ascii="Times New Roman" w:eastAsia="宋体" w:hAnsi="Times New Roman" w:cs="Times New Roman"/>
          <w:i/>
          <w:iCs/>
          <w:position w:val="-6"/>
          <w:sz w:val="20"/>
          <w:szCs w:val="20"/>
        </w:rPr>
        <w:t xml:space="preserve"> </w:t>
      </w:r>
      <w:r>
        <w:rPr>
          <w:rFonts w:ascii="Times New Roman" w:eastAsia="宋体" w:hAnsi="Times New Roman" w:cs="Times New Roman"/>
          <w:i/>
          <w:iCs/>
          <w:sz w:val="20"/>
          <w:szCs w:val="20"/>
        </w:rPr>
        <w:t xml:space="preserve">is the interval between activation time </w:t>
      </w:r>
      <w:r>
        <w:rPr>
          <w:rFonts w:ascii="Times New Roman" w:eastAsia="宋体" w:hAnsi="Times New Roman" w:cs="Times New Roman" w:hint="eastAsia"/>
          <w:i/>
          <w:iCs/>
          <w:sz w:val="20"/>
          <w:szCs w:val="20"/>
        </w:rPr>
        <w:t xml:space="preserve">of broadcast common TA </w:t>
      </w:r>
      <w:r>
        <w:rPr>
          <w:rFonts w:ascii="Times New Roman" w:eastAsia="宋体" w:hAnsi="Times New Roman" w:cs="Times New Roman"/>
          <w:i/>
          <w:iCs/>
          <w:sz w:val="20"/>
          <w:szCs w:val="20"/>
        </w:rPr>
        <w:t xml:space="preserve">and DL transmission time of scheduling information, and </w:t>
      </w:r>
      <w:r>
        <w:rPr>
          <w:rFonts w:ascii="Times New Roman" w:eastAsia="宋体" w:hAnsi="Times New Roman" w:cs="Times New Roman" w:hint="eastAsia"/>
          <w:i/>
          <w:iCs/>
          <w:position w:val="-10"/>
          <w:sz w:val="20"/>
          <w:szCs w:val="20"/>
        </w:rPr>
        <w:object w:dxaOrig="388" w:dyaOrig="343" w14:anchorId="1D9D509B">
          <v:shape id="_x0000_i1106" type="#_x0000_t75" style="width:19.4pt;height:17.15pt" o:ole="">
            <v:imagedata r:id="rId94" o:title=""/>
          </v:shape>
          <o:OLEObject Type="Embed" ProgID="Equation.KSEE3" ShapeID="_x0000_i1106" DrawAspect="Content" ObjectID="_1694606395" r:id="rId122"/>
        </w:object>
      </w:r>
      <w:r>
        <w:rPr>
          <w:rFonts w:ascii="Times New Roman" w:eastAsia="宋体" w:hAnsi="Times New Roman" w:cs="Times New Roman"/>
          <w:i/>
          <w:iCs/>
          <w:sz w:val="20"/>
          <w:szCs w:val="20"/>
        </w:rPr>
        <w:t xml:space="preserve"> is the interval between DL transmission time of scheduling information and UL transmission time</w:t>
      </w:r>
      <w:r>
        <w:rPr>
          <w:rFonts w:ascii="Times New Roman" w:eastAsia="宋体" w:hAnsi="Times New Roman" w:cs="Times New Roman" w:hint="eastAsia"/>
          <w:i/>
          <w:iCs/>
          <w:sz w:val="20"/>
          <w:szCs w:val="20"/>
        </w:rPr>
        <w:t>.</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eastAsia="宋体" w:hAnsi="Times New Roman" w:hint="eastAsia"/>
          <w:bCs/>
          <w:i/>
          <w:sz w:val="20"/>
          <w:szCs w:val="20"/>
        </w:rPr>
        <w:t>In RRC_CONNECTED state in NR NTN, when a new GNSS fix and/or new ephemeris are applied, UE could subtract the difference between UE specific TAs derived based on new parameters and old parameters from the accumulative closed loop TA to avoid TA jump.</w:t>
      </w:r>
    </w:p>
    <w:p w:rsidR="00A64259" w:rsidRDefault="002B731B">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eastAsia="宋体" w:hAnsi="Times New Roman" w:hint="eastAsia"/>
          <w:bCs/>
          <w:i/>
          <w:sz w:val="20"/>
          <w:szCs w:val="20"/>
        </w:rPr>
        <w:t>In RRC_CONNECTED state in NR NTN, when new common TA parameters are applied, UE could subtract the difference between common TAs derived based on new parameters and old parameters from the accumulative closed loop TA to avoid TA jump.</w:t>
      </w:r>
    </w:p>
    <w:p w:rsidR="00A64259" w:rsidRDefault="002B731B">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 </w:t>
      </w:r>
      <w:r>
        <w:rPr>
          <w:rFonts w:ascii="Times New Roman" w:hAnsi="Times New Roman" w:cs="Times New Roman" w:hint="eastAsia"/>
          <w:i/>
          <w:iCs/>
          <w:sz w:val="20"/>
          <w:szCs w:val="20"/>
        </w:rPr>
        <w:t>A validity timer can be defined for assistance information, e.g., common TA parameters and ephemeris data:</w:t>
      </w:r>
    </w:p>
    <w:p w:rsidR="00A64259" w:rsidRDefault="002B731B">
      <w:pPr>
        <w:numPr>
          <w:ilvl w:val="0"/>
          <w:numId w:val="12"/>
        </w:numPr>
        <w:spacing w:after="120"/>
        <w:rPr>
          <w:rFonts w:ascii="Times New Roman" w:eastAsia="宋体" w:hAnsi="Times New Roman" w:cs="Times New Roman"/>
          <w:i/>
          <w:iCs/>
          <w:sz w:val="20"/>
          <w:szCs w:val="20"/>
        </w:rPr>
      </w:pPr>
      <w:r>
        <w:rPr>
          <w:rFonts w:ascii="Times New Roman" w:eastAsia="宋体" w:hAnsi="Times New Roman" w:cs="Times New Roman" w:hint="eastAsia"/>
          <w:i/>
          <w:iCs/>
          <w:sz w:val="20"/>
          <w:szCs w:val="20"/>
        </w:rPr>
        <w:t xml:space="preserve">The timer should </w:t>
      </w:r>
      <w:r>
        <w:rPr>
          <w:rFonts w:ascii="Times New Roman" w:eastAsia="宋体" w:hAnsi="Times New Roman" w:cs="Times New Roman"/>
          <w:i/>
          <w:iCs/>
          <w:sz w:val="20"/>
          <w:szCs w:val="20"/>
        </w:rPr>
        <w:t xml:space="preserve">be </w:t>
      </w:r>
      <w:r>
        <w:rPr>
          <w:rFonts w:ascii="Times New Roman" w:eastAsia="宋体" w:hAnsi="Times New Roman" w:cs="Times New Roman" w:hint="eastAsia"/>
          <w:i/>
          <w:iCs/>
          <w:sz w:val="20"/>
          <w:szCs w:val="20"/>
        </w:rPr>
        <w:t xml:space="preserve">started/restarted when the updated assistance information is activated based on configured validity duration. </w:t>
      </w:r>
    </w:p>
    <w:p w:rsidR="00A64259" w:rsidRDefault="002B731B">
      <w:pPr>
        <w:numPr>
          <w:ilvl w:val="0"/>
          <w:numId w:val="12"/>
        </w:numPr>
        <w:spacing w:after="120"/>
        <w:rPr>
          <w:rFonts w:ascii="Times New Roman" w:eastAsia="宋体" w:hAnsi="Times New Roman" w:cs="Times New Roman"/>
          <w:i/>
          <w:iCs/>
          <w:sz w:val="20"/>
          <w:szCs w:val="20"/>
        </w:rPr>
      </w:pPr>
      <w:r>
        <w:rPr>
          <w:rFonts w:ascii="Times New Roman" w:eastAsia="宋体" w:hAnsi="Times New Roman" w:cs="Times New Roman" w:hint="eastAsia"/>
          <w:i/>
          <w:iCs/>
          <w:sz w:val="20"/>
          <w:szCs w:val="20"/>
        </w:rPr>
        <w:t>Upon expiry of timer, the UL synchronization is assumed</w:t>
      </w:r>
      <w:r>
        <w:rPr>
          <w:rFonts w:ascii="Times New Roman" w:eastAsia="宋体" w:hAnsi="Times New Roman" w:cs="Times New Roman"/>
          <w:i/>
          <w:iCs/>
          <w:sz w:val="20"/>
          <w:szCs w:val="20"/>
        </w:rPr>
        <w:t xml:space="preserve"> to be </w:t>
      </w:r>
      <w:r>
        <w:rPr>
          <w:rFonts w:ascii="Times New Roman" w:eastAsia="宋体" w:hAnsi="Times New Roman" w:cs="Times New Roman" w:hint="eastAsia"/>
          <w:i/>
          <w:iCs/>
          <w:sz w:val="20"/>
          <w:szCs w:val="20"/>
        </w:rPr>
        <w:t>lost.</w:t>
      </w:r>
    </w:p>
    <w:p w:rsidR="00A64259" w:rsidRDefault="002B731B">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 </w:t>
      </w:r>
      <w:r w:rsidR="00935411">
        <w:rPr>
          <w:rFonts w:ascii="Times New Roman" w:hAnsi="Times New Roman" w:cs="Times New Roman"/>
          <w:i/>
          <w:iCs/>
          <w:sz w:val="20"/>
          <w:szCs w:val="20"/>
        </w:rPr>
        <w:t>An</w:t>
      </w:r>
      <w:r>
        <w:rPr>
          <w:rFonts w:ascii="Times New Roman" w:hAnsi="Times New Roman" w:cs="Times New Roman" w:hint="eastAsia"/>
          <w:i/>
          <w:iCs/>
          <w:sz w:val="20"/>
          <w:szCs w:val="20"/>
        </w:rPr>
        <w:t xml:space="preserve"> update period of assistance information can be configured to UE and should be equal to or shorter than the validity duration.</w:t>
      </w:r>
    </w:p>
    <w:p w:rsidR="00A64259" w:rsidRDefault="002B731B">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bookmarkStart w:id="17" w:name="_Ref21583"/>
      <w:r>
        <w:rPr>
          <w:rFonts w:ascii="Times New Roman" w:hAnsi="Times New Roman" w:cs="Times New Roman" w:hint="eastAsia"/>
          <w:b/>
          <w:i/>
          <w:sz w:val="20"/>
          <w:szCs w:val="20"/>
        </w:rPr>
        <w:lastRenderedPageBreak/>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12</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activation time instant of validity duration for assistance information can be implicitly known as a reference time linked to DL subframe where the initial SIB carrying the assistance information is broadcast</w:t>
      </w:r>
      <w:r>
        <w:rPr>
          <w:rFonts w:ascii="Times New Roman" w:eastAsia="宋体" w:hAnsi="Times New Roman" w:cs="Times New Roman" w:hint="eastAsia"/>
          <w:i/>
          <w:iCs/>
          <w:sz w:val="20"/>
          <w:szCs w:val="20"/>
        </w:rPr>
        <w:t>.</w:t>
      </w:r>
    </w:p>
    <w:p w:rsidR="00A64259" w:rsidRDefault="002B731B">
      <w:pPr>
        <w:numPr>
          <w:ilvl w:val="255"/>
          <w:numId w:val="0"/>
        </w:numPr>
        <w:adjustRightInd w:val="0"/>
        <w:snapToGrid w:val="0"/>
        <w:spacing w:beforeLines="50" w:before="120" w:afterLines="50" w:after="120" w:line="260" w:lineRule="auto"/>
        <w:ind w:leftChars="200" w:left="440"/>
        <w:rPr>
          <w:rFonts w:ascii="Times New Roman" w:eastAsia="宋体" w:hAnsi="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i/>
          <w:sz w:val="20"/>
          <w:szCs w:val="20"/>
        </w:rPr>
        <w:t>An index associated to the SIB delivering the assistance information is needed to enable the derivation of active time for assistance information.</w:t>
      </w:r>
    </w:p>
    <w:p w:rsidR="00A64259" w:rsidRDefault="002B731B">
      <w:pPr>
        <w:adjustRightInd w:val="0"/>
        <w:snapToGrid w:val="0"/>
        <w:spacing w:beforeLines="50" w:before="120" w:afterLines="50" w:after="120" w:line="260" w:lineRule="auto"/>
        <w:ind w:leftChars="200" w:left="440"/>
        <w:rPr>
          <w:rFonts w:ascii="Times New Roman" w:eastAsia="宋体" w:hAnsi="Times New Roman" w:cs="Times New Roman"/>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validity duration length can be broadcast along with assistance information. A coarse signaling granularity can be applied, e.g., a SIB period.</w:t>
      </w:r>
    </w:p>
    <w:p w:rsidR="00A64259" w:rsidRDefault="002B731B">
      <w:pPr>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15: </w:t>
      </w:r>
      <w:r>
        <w:rPr>
          <w:rFonts w:ascii="Times New Roman" w:eastAsia="宋体" w:hAnsi="Times New Roman" w:hint="eastAsia"/>
          <w:i/>
          <w:sz w:val="20"/>
          <w:szCs w:val="20"/>
        </w:rPr>
        <w:t>With consideration on the limited time, it is recommended to deprioritize support of common DL frequency compensation for the service link Doppler shift in Rel-17</w:t>
      </w:r>
      <w:r>
        <w:rPr>
          <w:rFonts w:ascii="Times New Roman" w:eastAsia="宋体" w:hAnsi="Times New Roman"/>
          <w:i/>
          <w:sz w:val="20"/>
          <w:szCs w:val="20"/>
        </w:rPr>
        <w:t>.</w:t>
      </w:r>
    </w:p>
    <w:p w:rsidR="00A64259" w:rsidRDefault="002B731B">
      <w:pPr>
        <w:spacing w:after="120"/>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16: </w:t>
      </w:r>
      <w:r>
        <w:rPr>
          <w:rFonts w:ascii="Times New Roman" w:eastAsia="宋体" w:hAnsi="Times New Roman" w:hint="eastAsia"/>
          <w:i/>
          <w:sz w:val="20"/>
          <w:szCs w:val="20"/>
        </w:rPr>
        <w:t>Allocate different number of bits for different network type, at least for HAPS.</w:t>
      </w:r>
    </w:p>
    <w:p w:rsidR="00A64259" w:rsidRDefault="002B731B">
      <w:pPr>
        <w:spacing w:after="120"/>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17: </w:t>
      </w:r>
      <w:r w:rsidRPr="006A3186">
        <w:rPr>
          <w:rFonts w:ascii="Times New Roman" w:eastAsia="宋体" w:hAnsi="Times New Roman" w:hint="eastAsia"/>
          <w:i/>
          <w:sz w:val="20"/>
          <w:szCs w:val="20"/>
        </w:rPr>
        <w:t>Use relative position in PV indication to reduce payload in SIB, at least for HAPS</w:t>
      </w:r>
    </w:p>
    <w:p w:rsidR="00A64259" w:rsidRDefault="002B731B">
      <w:pPr>
        <w:spacing w:after="120"/>
        <w:ind w:leftChars="200" w:left="440"/>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18: </w:t>
      </w:r>
      <w:r>
        <w:rPr>
          <w:rFonts w:ascii="Times New Roman" w:eastAsia="宋体" w:hAnsi="Times New Roman" w:hint="eastAsia"/>
          <w:i/>
          <w:sz w:val="20"/>
          <w:szCs w:val="20"/>
        </w:rPr>
        <w:t>UE can be assumed to know the accessing network type without extra signallings, at least for HAPS.</w:t>
      </w:r>
    </w:p>
    <w:p w:rsidR="00A64259" w:rsidRDefault="002B731B">
      <w:pPr>
        <w:tabs>
          <w:tab w:val="left" w:pos="420"/>
        </w:tabs>
        <w:spacing w:after="120"/>
        <w:ind w:left="420"/>
        <w:rPr>
          <w:rFonts w:ascii="Times New Roman" w:eastAsia="宋体" w:hAnsi="Times New Roman" w:cs="Times New Roman"/>
          <w:i/>
          <w:iCs/>
          <w:position w:val="-14"/>
          <w:sz w:val="20"/>
          <w:szCs w:val="20"/>
        </w:rPr>
      </w:pPr>
      <w:r>
        <w:rPr>
          <w:rFonts w:ascii="Times New Roman" w:eastAsia="宋体" w:hAnsi="Times New Roman" w:cs="Times New Roman" w:hint="eastAsia"/>
          <w:b/>
          <w:bCs/>
          <w:i/>
          <w:iCs/>
          <w:position w:val="-14"/>
          <w:sz w:val="20"/>
          <w:szCs w:val="20"/>
        </w:rPr>
        <w:t>Proposal 19:</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A64259" w:rsidRDefault="002B731B">
      <w:pPr>
        <w:numPr>
          <w:ilvl w:val="0"/>
          <w:numId w:val="14"/>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w:t>
      </w:r>
      <w:r>
        <w:rPr>
          <w:rFonts w:ascii="Times New Roman" w:eastAsia="宋体" w:hAnsi="Times New Roman" w:cs="Times New Roman" w:hint="eastAsia"/>
          <w:position w:val="-14"/>
          <w:sz w:val="20"/>
          <w:szCs w:val="20"/>
        </w:rPr>
        <w:t>pre-provisioned</w:t>
      </w:r>
      <w:r>
        <w:rPr>
          <w:rFonts w:ascii="Times New Roman" w:eastAsia="宋体" w:hAnsi="Times New Roman" w:cs="Times New Roman" w:hint="eastAsia"/>
          <w:i/>
          <w:iCs/>
          <w:position w:val="-14"/>
          <w:sz w:val="20"/>
          <w:szCs w:val="20"/>
        </w:rPr>
        <w:t xml:space="preserve">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A64259" w:rsidRDefault="002B731B">
      <w:pPr>
        <w:numPr>
          <w:ilvl w:val="0"/>
          <w:numId w:val="14"/>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w:t>
      </w:r>
    </w:p>
    <w:p w:rsidR="00A64259" w:rsidRDefault="002B731B" w:rsidP="006C319F">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2" w:hanging="432"/>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A</w:t>
      </w:r>
      <w:bookmarkEnd w:id="17"/>
      <w:r>
        <w:rPr>
          <w:rFonts w:ascii="Times New Roman" w:eastAsia="黑体" w:hAnsi="Times New Roman" w:cs="Times New Roman" w:hint="eastAsia"/>
          <w:b/>
          <w:bCs/>
          <w:sz w:val="28"/>
          <w:szCs w:val="30"/>
          <w:lang w:val="en-US"/>
        </w:rPr>
        <w:t>ppendix</w:t>
      </w:r>
    </w:p>
    <w:p w:rsidR="00A64259" w:rsidRDefault="002B731B" w:rsidP="006C319F">
      <w:pPr>
        <w:pStyle w:val="2"/>
        <w:numPr>
          <w:ilvl w:val="1"/>
          <w:numId w:val="6"/>
        </w:numPr>
        <w:rPr>
          <w:rFonts w:ascii="Times New Roman" w:eastAsia="宋体" w:hAnsi="Times New Roman" w:cs="Times New Roman"/>
          <w:sz w:val="24"/>
          <w:szCs w:val="24"/>
          <w:lang w:val="en-US"/>
        </w:rPr>
      </w:pPr>
      <w:bookmarkStart w:id="18" w:name="_Ref26521"/>
      <w:bookmarkStart w:id="19" w:name="_Ref21094"/>
      <w:r>
        <w:rPr>
          <w:rFonts w:ascii="Times New Roman" w:eastAsia="宋体" w:hAnsi="Times New Roman" w:cs="Times New Roman" w:hint="eastAsia"/>
          <w:sz w:val="24"/>
          <w:szCs w:val="24"/>
          <w:lang w:val="en-US"/>
        </w:rPr>
        <w:t>Bit size for relative position</w:t>
      </w:r>
      <w:bookmarkEnd w:id="18"/>
      <w:r>
        <w:rPr>
          <w:rFonts w:ascii="Times New Roman" w:eastAsia="宋体" w:hAnsi="Times New Roman" w:cs="Times New Roman" w:hint="eastAsia"/>
          <w:sz w:val="24"/>
          <w:szCs w:val="24"/>
          <w:lang w:val="en-US"/>
        </w:rPr>
        <w:t xml:space="preserve"> of HAPS</w:t>
      </w:r>
      <w:bookmarkEnd w:id="19"/>
    </w:p>
    <w:p w:rsidR="00A64259" w:rsidRDefault="002B731B">
      <w:pPr>
        <w:pStyle w:val="ListParagraph1"/>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 xml:space="preserve">In NTN, a UE is assumed to have GNSS capability. With its own position, a UE can reduce the possible region of the source of the transmitted signal. As shown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_Ref510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the visible region is defined as the region that the signal from outsider is too weak for the UE to access or beyond the minimum serving elevation angle of corresponding NTN system. When a small grid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_Ref510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4</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is larger than the visible region, a UE cannot simultaneously receive signals from two grids with the same associated index. Therefore, with its own position and an associated index, a UE is able to derive the absolute position based on the indicated relative position.</w:t>
      </w:r>
    </w:p>
    <w:p w:rsidR="00A64259" w:rsidRDefault="002B731B">
      <w:pPr>
        <w:pStyle w:val="ListParagraph1"/>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The center of the small grids may be indicated to the UEs in the following ways.</w:t>
      </w:r>
    </w:p>
    <w:p w:rsidR="00A64259" w:rsidRDefault="002B731B">
      <w:pPr>
        <w:pStyle w:val="ListParagraph1"/>
        <w:numPr>
          <w:ilvl w:val="0"/>
          <w:numId w:val="16"/>
        </w:numPr>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Each serving node broadcasts the absolute position of the center of its located grid, and the edge length of the grid. The UE tries to read and update the two parameters for one association index only if its GNSS positioning results are too far away from the previous received grid center.</w:t>
      </w:r>
    </w:p>
    <w:p w:rsidR="00A64259" w:rsidRDefault="002B731B">
      <w:pPr>
        <w:pStyle w:val="ListParagraph1"/>
        <w:numPr>
          <w:ilvl w:val="0"/>
          <w:numId w:val="16"/>
        </w:numPr>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The grid are pre-defined in the earth or an area. The dividing rule are supposed to be already known for the UEs. Each serving node broadcasts the key parameters to the UEs, such as grid edge length, starting point of the dividing. The UE tries to update the parameters with a relatively long periodicity.</w:t>
      </w:r>
    </w:p>
    <w:p w:rsidR="00A64259" w:rsidRDefault="00A64259">
      <w:pPr>
        <w:pStyle w:val="ListParagraph1"/>
        <w:spacing w:beforeLines="50" w:before="120" w:afterLines="50" w:after="120" w:line="240" w:lineRule="auto"/>
        <w:ind w:leftChars="200" w:left="440"/>
        <w:contextualSpacing w:val="0"/>
        <w:rPr>
          <w:rFonts w:ascii="Times New Roman" w:hAnsi="Times New Roman" w:cs="Times New Roman"/>
          <w:sz w:val="20"/>
          <w:szCs w:val="20"/>
        </w:rPr>
      </w:pPr>
    </w:p>
    <w:p w:rsidR="00A64259" w:rsidRDefault="002B731B">
      <w:pPr>
        <w:pStyle w:val="ListParagraph1"/>
        <w:spacing w:beforeLines="50" w:before="120" w:afterLines="50" w:after="120" w:line="240" w:lineRule="auto"/>
        <w:ind w:leftChars="200" w:left="440"/>
        <w:contextualSpacing w:val="0"/>
        <w:jc w:val="center"/>
      </w:pPr>
      <w:r>
        <w:rPr>
          <w:noProof/>
        </w:rPr>
        <w:lastRenderedPageBreak/>
        <w:drawing>
          <wp:inline distT="0" distB="0" distL="114300" distR="114300">
            <wp:extent cx="4405630" cy="1663700"/>
            <wp:effectExtent l="0" t="0" r="13970" b="12700"/>
            <wp:docPr id="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4"/>
                    <pic:cNvPicPr>
                      <a:picLocks noChangeAspect="1"/>
                    </pic:cNvPicPr>
                  </pic:nvPicPr>
                  <pic:blipFill>
                    <a:blip r:embed="rId123"/>
                    <a:stretch>
                      <a:fillRect/>
                    </a:stretch>
                  </pic:blipFill>
                  <pic:spPr>
                    <a:xfrm>
                      <a:off x="0" y="0"/>
                      <a:ext cx="4405630" cy="1663700"/>
                    </a:xfrm>
                    <a:prstGeom prst="rect">
                      <a:avLst/>
                    </a:prstGeom>
                    <a:noFill/>
                    <a:ln>
                      <a:noFill/>
                    </a:ln>
                  </pic:spPr>
                </pic:pic>
              </a:graphicData>
            </a:graphic>
          </wp:inline>
        </w:drawing>
      </w:r>
    </w:p>
    <w:p w:rsidR="00A64259" w:rsidRDefault="002B731B">
      <w:pPr>
        <w:pStyle w:val="a3"/>
        <w:spacing w:beforeLines="50" w:before="120" w:afterLines="50"/>
        <w:ind w:leftChars="200" w:left="440"/>
        <w:rPr>
          <w:lang w:val="en-US"/>
        </w:rPr>
      </w:pPr>
      <w:bookmarkStart w:id="20" w:name="_Ref510"/>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bookmarkEnd w:id="20"/>
      <w:r>
        <w:rPr>
          <w:rFonts w:hint="eastAsia"/>
          <w:b w:val="0"/>
          <w:bCs w:val="0"/>
          <w:lang w:val="en-US"/>
        </w:rPr>
        <w:t xml:space="preserve"> Small grids with associated index</w:t>
      </w:r>
    </w:p>
    <w:p w:rsidR="00A64259" w:rsidRDefault="002B731B">
      <w:pPr>
        <w:ind w:leftChars="200" w:left="440"/>
        <w:rPr>
          <w:rFonts w:ascii="Times New Roman" w:hAnsi="Times New Roman" w:cs="Times New Roman"/>
          <w:sz w:val="20"/>
          <w:szCs w:val="20"/>
        </w:rPr>
      </w:pPr>
      <w:r>
        <w:rPr>
          <w:rFonts w:ascii="Times New Roman" w:hAnsi="Times New Roman" w:cs="Times New Roman" w:hint="eastAsia"/>
          <w:sz w:val="20"/>
          <w:szCs w:val="20"/>
        </w:rPr>
        <w:t xml:space="preserve">In case of HAPS, assume the altitude is 20-50km and the minimum elevation angle is 30 degree, then the maximal diameter of the visible region is </w:t>
      </w:r>
      <w:r>
        <w:rPr>
          <w:rFonts w:ascii="Times New Roman" w:hAnsi="Times New Roman" w:cs="Times New Roman" w:hint="eastAsia"/>
          <w:position w:val="-10"/>
          <w:sz w:val="20"/>
          <w:szCs w:val="20"/>
        </w:rPr>
        <w:object w:dxaOrig="2880" w:dyaOrig="377" w14:anchorId="220AA167">
          <v:shape id="_x0000_i1107" type="#_x0000_t75" style="width:2in;height:18.85pt" o:ole="">
            <v:imagedata r:id="rId124" o:title=""/>
          </v:shape>
          <o:OLEObject Type="Embed" ProgID="Equation.KSEE3" ShapeID="_x0000_i1107" DrawAspect="Content" ObjectID="_1694606396" r:id="rId125"/>
        </w:object>
      </w:r>
      <w:r>
        <w:rPr>
          <w:rFonts w:ascii="Times New Roman" w:hAnsi="Times New Roman" w:cs="Times New Roman" w:hint="eastAsia"/>
          <w:sz w:val="20"/>
          <w:szCs w:val="20"/>
        </w:rPr>
        <w:t>. Therefore the required bets number to represent relative position is 2*17+15=49 bits.</w:t>
      </w:r>
    </w:p>
    <w:p w:rsidR="00A64259" w:rsidRDefault="002B731B" w:rsidP="006C319F">
      <w:pPr>
        <w:pStyle w:val="2"/>
        <w:numPr>
          <w:ilvl w:val="1"/>
          <w:numId w:val="6"/>
        </w:numPr>
        <w:rPr>
          <w:rFonts w:ascii="Times New Roman" w:hAnsi="Times New Roman" w:cs="Times New Roman"/>
          <w:sz w:val="20"/>
          <w:szCs w:val="20"/>
        </w:rPr>
      </w:pPr>
      <w:r>
        <w:rPr>
          <w:rFonts w:ascii="Times New Roman" w:eastAsia="宋体" w:hAnsi="Times New Roman" w:cs="Times New Roman" w:hint="eastAsia"/>
          <w:sz w:val="24"/>
          <w:szCs w:val="24"/>
          <w:lang w:val="en-US"/>
        </w:rPr>
        <w:t xml:space="preserve">Simulation parameters for TA overestimation </w:t>
      </w:r>
    </w:p>
    <w:p w:rsidR="00A64259" w:rsidRDefault="002B731B">
      <w:pPr>
        <w:pStyle w:val="a3"/>
        <w:spacing w:before="240"/>
        <w:rPr>
          <w:rFonts w:eastAsiaTheme="minorEastAsia"/>
          <w:b w:val="0"/>
          <w:lang w:val="en-US"/>
        </w:rPr>
      </w:pPr>
      <w:bookmarkStart w:id="21" w:name="_Ref2795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9</w:t>
      </w:r>
      <w:r>
        <w:rPr>
          <w:b w:val="0"/>
          <w:bCs w:val="0"/>
        </w:rPr>
        <w:fldChar w:fldCharType="end"/>
      </w:r>
      <w:bookmarkEnd w:id="21"/>
      <w:r>
        <w:rPr>
          <w:rFonts w:hint="eastAsia"/>
          <w:b w:val="0"/>
          <w:lang w:val="en-US"/>
        </w:rPr>
        <w:t xml:space="preserve"> Simulation parameters for TA overestimation</w:t>
      </w:r>
    </w:p>
    <w:tbl>
      <w:tblPr>
        <w:tblW w:w="6000" w:type="dxa"/>
        <w:jc w:val="center"/>
        <w:tblLayout w:type="fixed"/>
        <w:tblCellMar>
          <w:left w:w="0" w:type="dxa"/>
          <w:right w:w="0" w:type="dxa"/>
        </w:tblCellMar>
        <w:tblLook w:val="04A0" w:firstRow="1" w:lastRow="0" w:firstColumn="1" w:lastColumn="0" w:noHBand="0" w:noVBand="1"/>
      </w:tblPr>
      <w:tblGrid>
        <w:gridCol w:w="2640"/>
        <w:gridCol w:w="3360"/>
      </w:tblGrid>
      <w:tr w:rsidR="00A64259">
        <w:trPr>
          <w:trHeight w:val="315"/>
          <w:jc w:val="center"/>
        </w:trPr>
        <w:tc>
          <w:tcPr>
            <w:tcW w:w="2640" w:type="dxa"/>
            <w:tcBorders>
              <w:top w:val="single" w:sz="4" w:space="0" w:color="auto"/>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F</w:t>
            </w:r>
            <w:r>
              <w:rPr>
                <w:rFonts w:ascii="Times New Roman" w:eastAsia="宋体" w:hAnsi="Times New Roman" w:cs="Times New Roman"/>
                <w:color w:val="000000"/>
                <w:sz w:val="16"/>
                <w:szCs w:val="16"/>
              </w:rPr>
              <w:t>requency band</w:t>
            </w:r>
          </w:p>
        </w:tc>
        <w:tc>
          <w:tcPr>
            <w:tcW w:w="3360" w:type="dxa"/>
            <w:tcBorders>
              <w:top w:val="single" w:sz="4" w:space="0" w:color="auto"/>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Ka-band</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rPr>
            </w:pPr>
            <w:r>
              <w:rPr>
                <w:rFonts w:ascii="Times New Roman" w:eastAsia="宋体" w:hAnsi="Times New Roman" w:cs="Times New Roman" w:hint="eastAsia"/>
                <w:color w:val="000000"/>
                <w:sz w:val="16"/>
                <w:szCs w:val="16"/>
              </w:rPr>
              <w:t>Channel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TDL</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Tx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Rx antenna number</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SCS (kHz)</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120</w:t>
            </w:r>
          </w:p>
        </w:tc>
      </w:tr>
      <w:tr w:rsidR="00A64259">
        <w:trPr>
          <w:trHeight w:val="90"/>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MCS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bandwidth (PRB)</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12</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start position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8</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PUSCH length (symbol)</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6</w:t>
            </w:r>
          </w:p>
        </w:tc>
      </w:tr>
      <w:tr w:rsidR="00A64259">
        <w:trPr>
          <w:trHeight w:val="315"/>
          <w:jc w:val="center"/>
        </w:trPr>
        <w:tc>
          <w:tcPr>
            <w:tcW w:w="2640" w:type="dxa"/>
            <w:tcBorders>
              <w:top w:val="single" w:sz="4" w:space="0" w:color="000000"/>
              <w:left w:val="single" w:sz="4" w:space="0" w:color="000000"/>
              <w:bottom w:val="single" w:sz="4" w:space="0" w:color="000000"/>
              <w:right w:val="single" w:sz="4" w:space="0" w:color="auto"/>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PRACH overestimation (ns)</w:t>
            </w:r>
          </w:p>
        </w:tc>
        <w:tc>
          <w:tcPr>
            <w:tcW w:w="336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64259" w:rsidRDefault="002B731B">
            <w:pPr>
              <w:jc w:val="center"/>
              <w:textAlignment w:val="center"/>
              <w:rPr>
                <w:rFonts w:ascii="Times New Roman" w:eastAsia="宋体" w:hAnsi="Times New Roman" w:cs="Times New Roman"/>
                <w:color w:val="000000"/>
                <w:sz w:val="16"/>
                <w:szCs w:val="16"/>
                <w:lang w:bidi="ar"/>
              </w:rPr>
            </w:pPr>
            <w:r>
              <w:rPr>
                <w:rFonts w:ascii="Times New Roman" w:eastAsia="宋体" w:hAnsi="Times New Roman" w:cs="Times New Roman" w:hint="eastAsia"/>
                <w:color w:val="000000"/>
                <w:sz w:val="16"/>
                <w:szCs w:val="16"/>
                <w:lang w:bidi="ar"/>
              </w:rPr>
              <w:t>439.45</w:t>
            </w:r>
          </w:p>
        </w:tc>
      </w:tr>
    </w:tbl>
    <w:p w:rsidR="00A64259" w:rsidRDefault="00A64259">
      <w:pPr>
        <w:pStyle w:val="ListParagraph1"/>
        <w:numPr>
          <w:ilvl w:val="255"/>
          <w:numId w:val="0"/>
        </w:numPr>
        <w:spacing w:after="0" w:line="20" w:lineRule="exact"/>
        <w:ind w:left="720"/>
        <w:rPr>
          <w:rFonts w:ascii="Times New Roman" w:hAnsi="Times New Roman"/>
          <w:sz w:val="20"/>
          <w:szCs w:val="20"/>
        </w:rPr>
      </w:pPr>
    </w:p>
    <w:p w:rsidR="00A64259" w:rsidRDefault="002B731B">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A64259" w:rsidRDefault="002B731B">
      <w:pPr>
        <w:pStyle w:val="ListParagraph1"/>
        <w:numPr>
          <w:ilvl w:val="0"/>
          <w:numId w:val="17"/>
        </w:numPr>
        <w:spacing w:after="0" w:line="240" w:lineRule="auto"/>
        <w:ind w:left="505" w:hanging="505"/>
        <w:rPr>
          <w:rFonts w:ascii="Times New Roman" w:hAnsi="Times New Roman"/>
          <w:sz w:val="20"/>
          <w:szCs w:val="20"/>
        </w:rPr>
      </w:pPr>
      <w:bookmarkStart w:id="22" w:name="_Ref40282619"/>
      <w:r>
        <w:rPr>
          <w:rFonts w:ascii="Times New Roman" w:hAnsi="Times New Roman" w:hint="eastAsia"/>
          <w:sz w:val="20"/>
          <w:szCs w:val="20"/>
        </w:rPr>
        <w:t>R1-2108604 Session Notes for 8.4 (Solutions for NR to Support Non-Terrestrial Networks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bookmarkEnd w:id="22"/>
      <w:r>
        <w:rPr>
          <w:rFonts w:ascii="Times New Roman" w:hAnsi="Times New Roman" w:hint="eastAsia"/>
          <w:sz w:val="20"/>
          <w:szCs w:val="20"/>
        </w:rPr>
        <w:t>106e</w:t>
      </w:r>
    </w:p>
    <w:p w:rsidR="00A64259" w:rsidRDefault="002B731B">
      <w:pPr>
        <w:pStyle w:val="ListParagraph1"/>
        <w:numPr>
          <w:ilvl w:val="0"/>
          <w:numId w:val="17"/>
        </w:numPr>
        <w:spacing w:after="0" w:line="240" w:lineRule="auto"/>
        <w:ind w:left="505" w:hanging="505"/>
        <w:rPr>
          <w:rFonts w:ascii="Times New Roman" w:hAnsi="Times New Roman"/>
          <w:sz w:val="20"/>
          <w:szCs w:val="20"/>
        </w:rPr>
      </w:pPr>
      <w:bookmarkStart w:id="23" w:name="_Ref32552"/>
      <w:r>
        <w:rPr>
          <w:rFonts w:ascii="Times New Roman" w:hAnsi="Times New Roman" w:hint="eastAsia"/>
          <w:sz w:val="20"/>
          <w:szCs w:val="20"/>
        </w:rPr>
        <w:t>R1-2108587 FL Summary #7 on enhancements on UL time and frequency synchronization for NR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106e</w:t>
      </w:r>
      <w:bookmarkEnd w:id="23"/>
    </w:p>
    <w:p w:rsidR="00A64259" w:rsidRDefault="002B731B">
      <w:pPr>
        <w:pStyle w:val="ListParagraph1"/>
        <w:numPr>
          <w:ilvl w:val="0"/>
          <w:numId w:val="17"/>
        </w:numPr>
        <w:spacing w:after="0" w:line="240" w:lineRule="auto"/>
        <w:ind w:left="505" w:hanging="505"/>
        <w:rPr>
          <w:rFonts w:ascii="Times New Roman" w:hAnsi="Times New Roman"/>
          <w:sz w:val="20"/>
          <w:szCs w:val="20"/>
        </w:rPr>
      </w:pPr>
      <w:bookmarkStart w:id="24" w:name="_Ref71537093"/>
      <w:r>
        <w:rPr>
          <w:rFonts w:ascii="Times New Roman" w:hAnsi="Times New Roman"/>
          <w:sz w:val="20"/>
          <w:szCs w:val="20"/>
        </w:rPr>
        <w:t>R4-2108648 Response LS on NTN UL frequency synchronization requirements</w:t>
      </w:r>
      <w:bookmarkEnd w:id="24"/>
    </w:p>
    <w:p w:rsidR="00A64259" w:rsidRDefault="002B731B">
      <w:pPr>
        <w:pStyle w:val="ListParagraph1"/>
        <w:numPr>
          <w:ilvl w:val="0"/>
          <w:numId w:val="17"/>
        </w:numPr>
        <w:spacing w:after="0" w:line="240" w:lineRule="auto"/>
        <w:ind w:left="505" w:hanging="505"/>
        <w:rPr>
          <w:rFonts w:ascii="Times New Roman" w:hAnsi="Times New Roman"/>
          <w:sz w:val="20"/>
          <w:szCs w:val="20"/>
        </w:rPr>
      </w:pPr>
      <w:bookmarkStart w:id="25" w:name="_Ref24082"/>
      <w:r>
        <w:rPr>
          <w:rFonts w:ascii="Times New Roman" w:hAnsi="Times New Roman" w:hint="eastAsia"/>
          <w:sz w:val="20"/>
          <w:szCs w:val="20"/>
        </w:rPr>
        <w:t>3GPP TR 38.821</w:t>
      </w:r>
      <w:r>
        <w:rPr>
          <w:rFonts w:ascii="Times New Roman" w:hAnsi="Times New Roman"/>
          <w:sz w:val="20"/>
          <w:szCs w:val="20"/>
        </w:rPr>
        <w:t xml:space="preserve"> </w:t>
      </w:r>
      <w:r>
        <w:rPr>
          <w:rFonts w:ascii="Times New Roman" w:hAnsi="Times New Roman" w:hint="eastAsia"/>
          <w:sz w:val="20"/>
          <w:szCs w:val="20"/>
        </w:rPr>
        <w:t>Solutions for NR to support non-terrestrial networks (NTN)</w:t>
      </w:r>
      <w:bookmarkEnd w:id="25"/>
    </w:p>
    <w:p w:rsidR="00A64259" w:rsidRDefault="002B731B">
      <w:pPr>
        <w:pStyle w:val="ListParagraph1"/>
        <w:numPr>
          <w:ilvl w:val="0"/>
          <w:numId w:val="17"/>
        </w:numPr>
        <w:spacing w:after="0" w:line="240" w:lineRule="auto"/>
        <w:ind w:left="505" w:hanging="505"/>
        <w:rPr>
          <w:rFonts w:ascii="Times New Roman" w:hAnsi="Times New Roman"/>
          <w:sz w:val="20"/>
          <w:szCs w:val="20"/>
        </w:rPr>
      </w:pPr>
      <w:bookmarkStart w:id="26" w:name="_Ref30610"/>
      <w:r>
        <w:rPr>
          <w:rFonts w:ascii="Times New Roman" w:hAnsi="Times New Roman" w:hint="eastAsia"/>
          <w:sz w:val="20"/>
          <w:szCs w:val="20"/>
        </w:rPr>
        <w:t>R1-2107776 Discussion on UL synchronization for NR-NTN, ZTE, RAN1#106e</w:t>
      </w:r>
      <w:bookmarkEnd w:id="26"/>
    </w:p>
    <w:p w:rsidR="00A64259" w:rsidRDefault="00A64259">
      <w:pPr>
        <w:pStyle w:val="ListParagraph1"/>
        <w:numPr>
          <w:ilvl w:val="255"/>
          <w:numId w:val="0"/>
        </w:numPr>
        <w:spacing w:after="0" w:line="20" w:lineRule="exact"/>
        <w:ind w:left="720"/>
        <w:rPr>
          <w:rFonts w:ascii="Times New Roman" w:hAnsi="Times New Roman"/>
          <w:sz w:val="20"/>
          <w:szCs w:val="20"/>
        </w:rPr>
      </w:pPr>
    </w:p>
    <w:sectPr w:rsidR="00A642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33D" w:rsidRDefault="0023033D" w:rsidP="006A3186">
      <w:pPr>
        <w:spacing w:after="0" w:line="240" w:lineRule="auto"/>
      </w:pPr>
      <w:r>
        <w:separator/>
      </w:r>
    </w:p>
  </w:endnote>
  <w:endnote w:type="continuationSeparator" w:id="0">
    <w:p w:rsidR="0023033D" w:rsidRDefault="0023033D" w:rsidP="006A3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33D" w:rsidRDefault="0023033D" w:rsidP="006A3186">
      <w:pPr>
        <w:spacing w:after="0" w:line="240" w:lineRule="auto"/>
      </w:pPr>
      <w:r>
        <w:separator/>
      </w:r>
    </w:p>
  </w:footnote>
  <w:footnote w:type="continuationSeparator" w:id="0">
    <w:p w:rsidR="0023033D" w:rsidRDefault="0023033D" w:rsidP="006A31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15:restartNumberingAfterBreak="0">
    <w:nsid w:val="B64B656C"/>
    <w:multiLevelType w:val="singleLevel"/>
    <w:tmpl w:val="B64B656C"/>
    <w:lvl w:ilvl="0">
      <w:start w:val="1"/>
      <w:numFmt w:val="decimal"/>
      <w:suff w:val="space"/>
      <w:lvlText w:val="%1."/>
      <w:lvlJc w:val="left"/>
    </w:lvl>
  </w:abstractNum>
  <w:abstractNum w:abstractNumId="2" w15:restartNumberingAfterBreak="0">
    <w:nsid w:val="D4A8E1C0"/>
    <w:multiLevelType w:val="singleLevel"/>
    <w:tmpl w:val="D4A8E1C0"/>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F293ADB6"/>
    <w:multiLevelType w:val="multilevel"/>
    <w:tmpl w:val="F293ADB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MS Mincho" w:hAnsi="MS Mincho" w:hint="default"/>
      </w:rPr>
    </w:lvl>
    <w:lvl w:ilvl="2">
      <w:start w:val="1"/>
      <w:numFmt w:val="bullet"/>
      <w:lvlText w:val=""/>
      <w:lvlJc w:val="left"/>
      <w:pPr>
        <w:tabs>
          <w:tab w:val="left" w:pos="1260"/>
        </w:tabs>
        <w:ind w:left="1680" w:hanging="420"/>
      </w:pPr>
      <w:rPr>
        <w:rFonts w:ascii="MS Mincho" w:hAnsi="MS Mincho" w:hint="default"/>
      </w:rPr>
    </w:lvl>
    <w:lvl w:ilvl="3">
      <w:start w:val="1"/>
      <w:numFmt w:val="bullet"/>
      <w:lvlText w:val=""/>
      <w:lvlJc w:val="left"/>
      <w:pPr>
        <w:tabs>
          <w:tab w:val="left" w:pos="1680"/>
        </w:tabs>
        <w:ind w:left="2100" w:hanging="420"/>
      </w:pPr>
      <w:rPr>
        <w:rFonts w:ascii="MS Mincho" w:hAnsi="MS Mincho" w:hint="default"/>
      </w:rPr>
    </w:lvl>
    <w:lvl w:ilvl="4">
      <w:start w:val="1"/>
      <w:numFmt w:val="bullet"/>
      <w:lvlText w:val=""/>
      <w:lvlJc w:val="left"/>
      <w:pPr>
        <w:tabs>
          <w:tab w:val="left" w:pos="2100"/>
        </w:tabs>
        <w:ind w:left="2520" w:hanging="420"/>
      </w:pPr>
      <w:rPr>
        <w:rFonts w:ascii="MS Mincho" w:hAnsi="MS Mincho" w:hint="default"/>
      </w:rPr>
    </w:lvl>
    <w:lvl w:ilvl="5">
      <w:start w:val="1"/>
      <w:numFmt w:val="bullet"/>
      <w:lvlText w:val=""/>
      <w:lvlJc w:val="left"/>
      <w:pPr>
        <w:tabs>
          <w:tab w:val="left" w:pos="2520"/>
        </w:tabs>
        <w:ind w:left="2940" w:hanging="420"/>
      </w:pPr>
      <w:rPr>
        <w:rFonts w:ascii="MS Mincho" w:hAnsi="MS Mincho" w:hint="default"/>
      </w:rPr>
    </w:lvl>
    <w:lvl w:ilvl="6">
      <w:start w:val="1"/>
      <w:numFmt w:val="bullet"/>
      <w:lvlText w:val=""/>
      <w:lvlJc w:val="left"/>
      <w:pPr>
        <w:tabs>
          <w:tab w:val="left" w:pos="2940"/>
        </w:tabs>
        <w:ind w:left="3360" w:hanging="420"/>
      </w:pPr>
      <w:rPr>
        <w:rFonts w:ascii="MS Mincho" w:hAnsi="MS Mincho" w:hint="default"/>
      </w:rPr>
    </w:lvl>
    <w:lvl w:ilvl="7">
      <w:start w:val="1"/>
      <w:numFmt w:val="bullet"/>
      <w:lvlText w:val=""/>
      <w:lvlJc w:val="left"/>
      <w:pPr>
        <w:tabs>
          <w:tab w:val="left" w:pos="3360"/>
        </w:tabs>
        <w:ind w:left="3780" w:hanging="420"/>
      </w:pPr>
      <w:rPr>
        <w:rFonts w:ascii="MS Mincho" w:hAnsi="MS Mincho" w:hint="default"/>
      </w:rPr>
    </w:lvl>
    <w:lvl w:ilvl="8">
      <w:start w:val="1"/>
      <w:numFmt w:val="bullet"/>
      <w:lvlText w:val=""/>
      <w:lvlJc w:val="left"/>
      <w:pPr>
        <w:tabs>
          <w:tab w:val="left" w:pos="3780"/>
        </w:tabs>
        <w:ind w:left="4200" w:hanging="420"/>
      </w:pPr>
      <w:rPr>
        <w:rFonts w:ascii="MS Mincho" w:hAnsi="MS Mincho" w:hint="default"/>
      </w:rPr>
    </w:lvl>
  </w:abstractNum>
  <w:abstractNum w:abstractNumId="4" w15:restartNumberingAfterBreak="0">
    <w:nsid w:val="02552047"/>
    <w:multiLevelType w:val="multilevel"/>
    <w:tmpl w:val="12827A66"/>
    <w:lvl w:ilvl="0">
      <w:start w:val="1"/>
      <w:numFmt w:val="decimal"/>
      <w:pStyle w:val="1"/>
      <w:lvlText w:val="%1"/>
      <w:lvlJc w:val="left"/>
      <w:pPr>
        <w:ind w:left="432" w:hanging="432"/>
      </w:pPr>
      <w:rPr>
        <w:rFonts w:hint="default"/>
      </w:rPr>
    </w:lvl>
    <w:lvl w:ilvl="1">
      <w:start w:val="1"/>
      <w:numFmt w:val="decimal"/>
      <w:lvlText w:val="%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55297"/>
    <w:multiLevelType w:val="multilevel"/>
    <w:tmpl w:val="063552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7"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A75923"/>
    <w:multiLevelType w:val="singleLevel"/>
    <w:tmpl w:val="35A75923"/>
    <w:lvl w:ilvl="0">
      <w:start w:val="1"/>
      <w:numFmt w:val="decimal"/>
      <w:suff w:val="space"/>
      <w:lvlText w:val="%1."/>
      <w:lvlJc w:val="left"/>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20109B"/>
    <w:multiLevelType w:val="singleLevel"/>
    <w:tmpl w:val="5E20109B"/>
    <w:lvl w:ilvl="0">
      <w:start w:val="1"/>
      <w:numFmt w:val="bullet"/>
      <w:lvlText w:val=""/>
      <w:lvlJc w:val="left"/>
      <w:pPr>
        <w:tabs>
          <w:tab w:val="left" w:pos="420"/>
        </w:tabs>
        <w:ind w:left="840" w:hanging="420"/>
      </w:pPr>
      <w:rPr>
        <w:rFonts w:ascii="Wingdings" w:hAnsi="Wingdings" w:hint="default"/>
      </w:rPr>
    </w:lvl>
  </w:abstractNum>
  <w:num w:numId="1">
    <w:abstractNumId w:val="4"/>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num>
  <w:num w:numId="7">
    <w:abstractNumId w:val="3"/>
  </w:num>
  <w:num w:numId="8">
    <w:abstractNumId w:val="7"/>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2"/>
  </w:num>
  <w:num w:numId="13">
    <w:abstractNumId w:val="13"/>
  </w:num>
  <w:num w:numId="14">
    <w:abstractNumId w:val="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E94"/>
    <w:rsid w:val="00067072"/>
    <w:rsid w:val="000707AD"/>
    <w:rsid w:val="00074CEC"/>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9F6"/>
    <w:rsid w:val="001401D1"/>
    <w:rsid w:val="00140AE4"/>
    <w:rsid w:val="0014136C"/>
    <w:rsid w:val="0014315C"/>
    <w:rsid w:val="001447C9"/>
    <w:rsid w:val="001455B4"/>
    <w:rsid w:val="00145B2C"/>
    <w:rsid w:val="00145BE8"/>
    <w:rsid w:val="001478C9"/>
    <w:rsid w:val="00152B82"/>
    <w:rsid w:val="00152E17"/>
    <w:rsid w:val="00153DFD"/>
    <w:rsid w:val="00157411"/>
    <w:rsid w:val="001637D9"/>
    <w:rsid w:val="00163958"/>
    <w:rsid w:val="00163C43"/>
    <w:rsid w:val="00163E3A"/>
    <w:rsid w:val="001645E4"/>
    <w:rsid w:val="00164C6C"/>
    <w:rsid w:val="00165036"/>
    <w:rsid w:val="00166848"/>
    <w:rsid w:val="00166EF0"/>
    <w:rsid w:val="00167C34"/>
    <w:rsid w:val="00170CD6"/>
    <w:rsid w:val="0017178D"/>
    <w:rsid w:val="00172A27"/>
    <w:rsid w:val="00173343"/>
    <w:rsid w:val="00173624"/>
    <w:rsid w:val="00174EE5"/>
    <w:rsid w:val="00176371"/>
    <w:rsid w:val="00176496"/>
    <w:rsid w:val="001767AB"/>
    <w:rsid w:val="00176CE4"/>
    <w:rsid w:val="00177052"/>
    <w:rsid w:val="00183086"/>
    <w:rsid w:val="0018415A"/>
    <w:rsid w:val="00185634"/>
    <w:rsid w:val="00185B2D"/>
    <w:rsid w:val="0019297F"/>
    <w:rsid w:val="001945CB"/>
    <w:rsid w:val="00194A42"/>
    <w:rsid w:val="001950A5"/>
    <w:rsid w:val="001964C6"/>
    <w:rsid w:val="001A040E"/>
    <w:rsid w:val="001A27EA"/>
    <w:rsid w:val="001A585E"/>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33D"/>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B43"/>
    <w:rsid w:val="002A3174"/>
    <w:rsid w:val="002A40A7"/>
    <w:rsid w:val="002A431F"/>
    <w:rsid w:val="002A5D5E"/>
    <w:rsid w:val="002A5DBB"/>
    <w:rsid w:val="002A7E58"/>
    <w:rsid w:val="002B15AC"/>
    <w:rsid w:val="002B1AEC"/>
    <w:rsid w:val="002B3F53"/>
    <w:rsid w:val="002B4341"/>
    <w:rsid w:val="002B5408"/>
    <w:rsid w:val="002B6229"/>
    <w:rsid w:val="002B731B"/>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572"/>
    <w:rsid w:val="004C32AB"/>
    <w:rsid w:val="004C35C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3186"/>
    <w:rsid w:val="006A5005"/>
    <w:rsid w:val="006A770B"/>
    <w:rsid w:val="006A78AB"/>
    <w:rsid w:val="006B11B9"/>
    <w:rsid w:val="006B2BFD"/>
    <w:rsid w:val="006B2F59"/>
    <w:rsid w:val="006B3E7B"/>
    <w:rsid w:val="006B44DE"/>
    <w:rsid w:val="006B68A9"/>
    <w:rsid w:val="006B68BB"/>
    <w:rsid w:val="006C2AFB"/>
    <w:rsid w:val="006C319F"/>
    <w:rsid w:val="006C5BED"/>
    <w:rsid w:val="006C6196"/>
    <w:rsid w:val="006C63FA"/>
    <w:rsid w:val="006C79CC"/>
    <w:rsid w:val="006C7C94"/>
    <w:rsid w:val="006D02E7"/>
    <w:rsid w:val="006D267E"/>
    <w:rsid w:val="006D2F82"/>
    <w:rsid w:val="006D419D"/>
    <w:rsid w:val="006D471A"/>
    <w:rsid w:val="006D5130"/>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DC7"/>
    <w:rsid w:val="0074513B"/>
    <w:rsid w:val="007453DB"/>
    <w:rsid w:val="00745D0B"/>
    <w:rsid w:val="00745EBE"/>
    <w:rsid w:val="00746683"/>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A3D"/>
    <w:rsid w:val="007B2B9F"/>
    <w:rsid w:val="007B2C1F"/>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425D"/>
    <w:rsid w:val="00854B30"/>
    <w:rsid w:val="008551DD"/>
    <w:rsid w:val="00860235"/>
    <w:rsid w:val="008612D6"/>
    <w:rsid w:val="00863503"/>
    <w:rsid w:val="0086499E"/>
    <w:rsid w:val="0086626F"/>
    <w:rsid w:val="008663D3"/>
    <w:rsid w:val="008722CE"/>
    <w:rsid w:val="0087264B"/>
    <w:rsid w:val="008728BD"/>
    <w:rsid w:val="00873093"/>
    <w:rsid w:val="00874A7F"/>
    <w:rsid w:val="00876465"/>
    <w:rsid w:val="00880BCB"/>
    <w:rsid w:val="00880D19"/>
    <w:rsid w:val="00882746"/>
    <w:rsid w:val="00882837"/>
    <w:rsid w:val="00885657"/>
    <w:rsid w:val="008906B0"/>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22AF"/>
    <w:rsid w:val="00923489"/>
    <w:rsid w:val="009258EB"/>
    <w:rsid w:val="009264C7"/>
    <w:rsid w:val="00926F55"/>
    <w:rsid w:val="00927355"/>
    <w:rsid w:val="00927AD8"/>
    <w:rsid w:val="00927F24"/>
    <w:rsid w:val="00931B4D"/>
    <w:rsid w:val="00933578"/>
    <w:rsid w:val="00934843"/>
    <w:rsid w:val="00934E6E"/>
    <w:rsid w:val="00935411"/>
    <w:rsid w:val="00935F25"/>
    <w:rsid w:val="0094282A"/>
    <w:rsid w:val="00942CBD"/>
    <w:rsid w:val="00943D86"/>
    <w:rsid w:val="0094500B"/>
    <w:rsid w:val="00951A21"/>
    <w:rsid w:val="00954629"/>
    <w:rsid w:val="009546E6"/>
    <w:rsid w:val="00954CFA"/>
    <w:rsid w:val="009562E2"/>
    <w:rsid w:val="00956DE4"/>
    <w:rsid w:val="009668B8"/>
    <w:rsid w:val="0096717D"/>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4259"/>
    <w:rsid w:val="00A663F5"/>
    <w:rsid w:val="00A66542"/>
    <w:rsid w:val="00A67884"/>
    <w:rsid w:val="00A70F38"/>
    <w:rsid w:val="00A7397C"/>
    <w:rsid w:val="00A74A33"/>
    <w:rsid w:val="00A75949"/>
    <w:rsid w:val="00A779FB"/>
    <w:rsid w:val="00A80968"/>
    <w:rsid w:val="00A816AA"/>
    <w:rsid w:val="00A82111"/>
    <w:rsid w:val="00A8312D"/>
    <w:rsid w:val="00A83E49"/>
    <w:rsid w:val="00A85CC6"/>
    <w:rsid w:val="00A90563"/>
    <w:rsid w:val="00A9201E"/>
    <w:rsid w:val="00A93DBF"/>
    <w:rsid w:val="00A943AA"/>
    <w:rsid w:val="00A94BF2"/>
    <w:rsid w:val="00A94EC8"/>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13D8"/>
    <w:rsid w:val="00AD16C8"/>
    <w:rsid w:val="00AD3CA7"/>
    <w:rsid w:val="00AD4472"/>
    <w:rsid w:val="00AD460D"/>
    <w:rsid w:val="00AD69BF"/>
    <w:rsid w:val="00AD7211"/>
    <w:rsid w:val="00AD747D"/>
    <w:rsid w:val="00AE06DB"/>
    <w:rsid w:val="00AE0882"/>
    <w:rsid w:val="00AE15B3"/>
    <w:rsid w:val="00AE1AA8"/>
    <w:rsid w:val="00AE1E44"/>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76F9"/>
    <w:rsid w:val="00BC06D9"/>
    <w:rsid w:val="00BC48C0"/>
    <w:rsid w:val="00BC50E0"/>
    <w:rsid w:val="00BC5A14"/>
    <w:rsid w:val="00BC6481"/>
    <w:rsid w:val="00BC6B5A"/>
    <w:rsid w:val="00BC7106"/>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B165F"/>
    <w:rsid w:val="00CB18A2"/>
    <w:rsid w:val="00CB2FE4"/>
    <w:rsid w:val="00CB3621"/>
    <w:rsid w:val="00CB4A68"/>
    <w:rsid w:val="00CC1380"/>
    <w:rsid w:val="00CC47FF"/>
    <w:rsid w:val="00CC4B2C"/>
    <w:rsid w:val="00CC7D91"/>
    <w:rsid w:val="00CD08DD"/>
    <w:rsid w:val="00CD1A96"/>
    <w:rsid w:val="00CD2824"/>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5B18"/>
    <w:rsid w:val="00D85ED0"/>
    <w:rsid w:val="00D874D3"/>
    <w:rsid w:val="00D87815"/>
    <w:rsid w:val="00D900A0"/>
    <w:rsid w:val="00D93BE8"/>
    <w:rsid w:val="00D93F81"/>
    <w:rsid w:val="00D94428"/>
    <w:rsid w:val="00D94683"/>
    <w:rsid w:val="00D9558B"/>
    <w:rsid w:val="00D957E5"/>
    <w:rsid w:val="00D95832"/>
    <w:rsid w:val="00D965A7"/>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13AE"/>
    <w:rsid w:val="00EA73EF"/>
    <w:rsid w:val="00EB1831"/>
    <w:rsid w:val="00EB2F2D"/>
    <w:rsid w:val="00EB3C9F"/>
    <w:rsid w:val="00EB3D3C"/>
    <w:rsid w:val="00EB51E7"/>
    <w:rsid w:val="00EB5A34"/>
    <w:rsid w:val="00EB6771"/>
    <w:rsid w:val="00EB6CE4"/>
    <w:rsid w:val="00EB7113"/>
    <w:rsid w:val="00EB7564"/>
    <w:rsid w:val="00EC06BA"/>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BC240B"/>
    <w:rsid w:val="04BE3BD3"/>
    <w:rsid w:val="05A51DB9"/>
    <w:rsid w:val="060B7677"/>
    <w:rsid w:val="061A5313"/>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7255D0"/>
    <w:rsid w:val="088E4584"/>
    <w:rsid w:val="08A477F9"/>
    <w:rsid w:val="08D02C41"/>
    <w:rsid w:val="08E73F86"/>
    <w:rsid w:val="08F45AE2"/>
    <w:rsid w:val="094216B7"/>
    <w:rsid w:val="09B01B12"/>
    <w:rsid w:val="09C00431"/>
    <w:rsid w:val="09C02BBF"/>
    <w:rsid w:val="09D62DC2"/>
    <w:rsid w:val="09DD5F7E"/>
    <w:rsid w:val="0AA76BBF"/>
    <w:rsid w:val="0ABA3196"/>
    <w:rsid w:val="0ABD67A5"/>
    <w:rsid w:val="0AC74C67"/>
    <w:rsid w:val="0AEC4C33"/>
    <w:rsid w:val="0AF81F7D"/>
    <w:rsid w:val="0AF9651E"/>
    <w:rsid w:val="0B035D76"/>
    <w:rsid w:val="0B0D72DF"/>
    <w:rsid w:val="0B532916"/>
    <w:rsid w:val="0BA71F9F"/>
    <w:rsid w:val="0BC24B89"/>
    <w:rsid w:val="0BF608EB"/>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380138"/>
    <w:rsid w:val="0F4C40F9"/>
    <w:rsid w:val="0F571F81"/>
    <w:rsid w:val="0F5F7948"/>
    <w:rsid w:val="0F991079"/>
    <w:rsid w:val="0FA13584"/>
    <w:rsid w:val="100573B4"/>
    <w:rsid w:val="10BE71C3"/>
    <w:rsid w:val="10F61CD8"/>
    <w:rsid w:val="10FB4A31"/>
    <w:rsid w:val="11337EFB"/>
    <w:rsid w:val="115713ED"/>
    <w:rsid w:val="11600A16"/>
    <w:rsid w:val="11761878"/>
    <w:rsid w:val="118A635C"/>
    <w:rsid w:val="11D34FC9"/>
    <w:rsid w:val="124203BC"/>
    <w:rsid w:val="12456039"/>
    <w:rsid w:val="12606FE4"/>
    <w:rsid w:val="12F533CD"/>
    <w:rsid w:val="12F66907"/>
    <w:rsid w:val="130A6356"/>
    <w:rsid w:val="132066F4"/>
    <w:rsid w:val="134637F3"/>
    <w:rsid w:val="1360576D"/>
    <w:rsid w:val="137463DF"/>
    <w:rsid w:val="13BD2FCB"/>
    <w:rsid w:val="13CA4309"/>
    <w:rsid w:val="13D45D4F"/>
    <w:rsid w:val="13E14360"/>
    <w:rsid w:val="1426405A"/>
    <w:rsid w:val="14417EA0"/>
    <w:rsid w:val="14481B6D"/>
    <w:rsid w:val="14A54640"/>
    <w:rsid w:val="14E52296"/>
    <w:rsid w:val="153D19BB"/>
    <w:rsid w:val="15537400"/>
    <w:rsid w:val="15562652"/>
    <w:rsid w:val="1583223F"/>
    <w:rsid w:val="15900D80"/>
    <w:rsid w:val="15A54DA6"/>
    <w:rsid w:val="15A922FB"/>
    <w:rsid w:val="15AC6FAE"/>
    <w:rsid w:val="15BF72E6"/>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A81BCE"/>
    <w:rsid w:val="18BB49A9"/>
    <w:rsid w:val="18BD7907"/>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650CC3"/>
    <w:rsid w:val="1DF36F10"/>
    <w:rsid w:val="1E1A3914"/>
    <w:rsid w:val="1E5B735D"/>
    <w:rsid w:val="1EC63D7C"/>
    <w:rsid w:val="1EE13120"/>
    <w:rsid w:val="1EEC1248"/>
    <w:rsid w:val="1F4D61EB"/>
    <w:rsid w:val="1F9A6A11"/>
    <w:rsid w:val="1FFC1DC4"/>
    <w:rsid w:val="207E6C00"/>
    <w:rsid w:val="20831983"/>
    <w:rsid w:val="20A0176D"/>
    <w:rsid w:val="20B2740F"/>
    <w:rsid w:val="21396CB8"/>
    <w:rsid w:val="21AA7CA6"/>
    <w:rsid w:val="21AB708E"/>
    <w:rsid w:val="21FF2B6B"/>
    <w:rsid w:val="228A73C5"/>
    <w:rsid w:val="22992535"/>
    <w:rsid w:val="22B15D07"/>
    <w:rsid w:val="22CB67CE"/>
    <w:rsid w:val="22DF7DFC"/>
    <w:rsid w:val="22E40D2F"/>
    <w:rsid w:val="23121934"/>
    <w:rsid w:val="231F7FF3"/>
    <w:rsid w:val="232A5AF9"/>
    <w:rsid w:val="238555C9"/>
    <w:rsid w:val="238D53A2"/>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7240F9C"/>
    <w:rsid w:val="272B664F"/>
    <w:rsid w:val="27B91633"/>
    <w:rsid w:val="27BE4B44"/>
    <w:rsid w:val="27D0173F"/>
    <w:rsid w:val="27DD18F1"/>
    <w:rsid w:val="28163B2C"/>
    <w:rsid w:val="281B2B80"/>
    <w:rsid w:val="28227A69"/>
    <w:rsid w:val="28DC66D6"/>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D1F1FF1"/>
    <w:rsid w:val="2D2C75CF"/>
    <w:rsid w:val="2D4C2D0F"/>
    <w:rsid w:val="2D8C25BE"/>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7562FE"/>
    <w:rsid w:val="308512F4"/>
    <w:rsid w:val="308831D6"/>
    <w:rsid w:val="308835B0"/>
    <w:rsid w:val="30A17FDC"/>
    <w:rsid w:val="30C1111D"/>
    <w:rsid w:val="30F811AB"/>
    <w:rsid w:val="312253DC"/>
    <w:rsid w:val="313E40CB"/>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C375AD"/>
    <w:rsid w:val="33ED4BAD"/>
    <w:rsid w:val="34460C91"/>
    <w:rsid w:val="344F318A"/>
    <w:rsid w:val="345676E2"/>
    <w:rsid w:val="345C691A"/>
    <w:rsid w:val="345E214B"/>
    <w:rsid w:val="34AD087C"/>
    <w:rsid w:val="34BD1D33"/>
    <w:rsid w:val="34CD2EB2"/>
    <w:rsid w:val="34FE33DD"/>
    <w:rsid w:val="35293D5E"/>
    <w:rsid w:val="35990549"/>
    <w:rsid w:val="35A220ED"/>
    <w:rsid w:val="35BF24A4"/>
    <w:rsid w:val="35DC2BCB"/>
    <w:rsid w:val="35E60492"/>
    <w:rsid w:val="3621189E"/>
    <w:rsid w:val="3631763C"/>
    <w:rsid w:val="36405BAA"/>
    <w:rsid w:val="36837E96"/>
    <w:rsid w:val="368F60DB"/>
    <w:rsid w:val="36C74C41"/>
    <w:rsid w:val="36D26E85"/>
    <w:rsid w:val="36E81D5E"/>
    <w:rsid w:val="36EB3410"/>
    <w:rsid w:val="36F06DBF"/>
    <w:rsid w:val="373311E8"/>
    <w:rsid w:val="3772137C"/>
    <w:rsid w:val="37776067"/>
    <w:rsid w:val="378A0234"/>
    <w:rsid w:val="379F2C44"/>
    <w:rsid w:val="380D2B38"/>
    <w:rsid w:val="383F0F87"/>
    <w:rsid w:val="38504241"/>
    <w:rsid w:val="387C43FD"/>
    <w:rsid w:val="387D7DFF"/>
    <w:rsid w:val="38982704"/>
    <w:rsid w:val="38AD14DD"/>
    <w:rsid w:val="38DB08A3"/>
    <w:rsid w:val="3971511E"/>
    <w:rsid w:val="397C2D3D"/>
    <w:rsid w:val="39AF4AF7"/>
    <w:rsid w:val="39B85181"/>
    <w:rsid w:val="39E25B2E"/>
    <w:rsid w:val="39FA0457"/>
    <w:rsid w:val="39FA6C16"/>
    <w:rsid w:val="3A060D37"/>
    <w:rsid w:val="3A815CFC"/>
    <w:rsid w:val="3ADC246A"/>
    <w:rsid w:val="3AE8609C"/>
    <w:rsid w:val="3B502CC1"/>
    <w:rsid w:val="3B516760"/>
    <w:rsid w:val="3B563DB1"/>
    <w:rsid w:val="3B6E6EB4"/>
    <w:rsid w:val="3B6F005A"/>
    <w:rsid w:val="3B923D9D"/>
    <w:rsid w:val="3BB448C9"/>
    <w:rsid w:val="3C2A6487"/>
    <w:rsid w:val="3C8A3F43"/>
    <w:rsid w:val="3CFE08DB"/>
    <w:rsid w:val="3D690B94"/>
    <w:rsid w:val="3D7A7192"/>
    <w:rsid w:val="3DB138D5"/>
    <w:rsid w:val="3DB40E70"/>
    <w:rsid w:val="3E3B24BF"/>
    <w:rsid w:val="3E64265A"/>
    <w:rsid w:val="3E6C3FAF"/>
    <w:rsid w:val="3E8E0FDF"/>
    <w:rsid w:val="3E93172F"/>
    <w:rsid w:val="3EA51E2C"/>
    <w:rsid w:val="3EAC040D"/>
    <w:rsid w:val="3EF34B07"/>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144D40"/>
    <w:rsid w:val="4B230331"/>
    <w:rsid w:val="4B4107D0"/>
    <w:rsid w:val="4B805A5F"/>
    <w:rsid w:val="4B88470B"/>
    <w:rsid w:val="4BC12236"/>
    <w:rsid w:val="4BC3031A"/>
    <w:rsid w:val="4BFD2C74"/>
    <w:rsid w:val="4C234937"/>
    <w:rsid w:val="4C272014"/>
    <w:rsid w:val="4C2B36E5"/>
    <w:rsid w:val="4C7C549B"/>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707FB"/>
    <w:rsid w:val="4F002168"/>
    <w:rsid w:val="4F3E18B2"/>
    <w:rsid w:val="4FB17A29"/>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92FC3"/>
    <w:rsid w:val="529B6F98"/>
    <w:rsid w:val="52A66C49"/>
    <w:rsid w:val="52B63145"/>
    <w:rsid w:val="52E71FB4"/>
    <w:rsid w:val="53AE5964"/>
    <w:rsid w:val="53B54782"/>
    <w:rsid w:val="54494545"/>
    <w:rsid w:val="547B4879"/>
    <w:rsid w:val="54AA0A30"/>
    <w:rsid w:val="54CB7EA9"/>
    <w:rsid w:val="54DE3031"/>
    <w:rsid w:val="558D62F1"/>
    <w:rsid w:val="559270E0"/>
    <w:rsid w:val="55EB77C0"/>
    <w:rsid w:val="562F0357"/>
    <w:rsid w:val="564F69B6"/>
    <w:rsid w:val="565054D2"/>
    <w:rsid w:val="566E1BF3"/>
    <w:rsid w:val="569F775B"/>
    <w:rsid w:val="571D05A3"/>
    <w:rsid w:val="57303A7C"/>
    <w:rsid w:val="57481A8E"/>
    <w:rsid w:val="57841A3E"/>
    <w:rsid w:val="57900D67"/>
    <w:rsid w:val="57BD74D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8C55D5"/>
    <w:rsid w:val="5C9536D3"/>
    <w:rsid w:val="5CBF18BC"/>
    <w:rsid w:val="5CD46209"/>
    <w:rsid w:val="5CEA0ADF"/>
    <w:rsid w:val="5CF07939"/>
    <w:rsid w:val="5D1F0F34"/>
    <w:rsid w:val="5D2802F3"/>
    <w:rsid w:val="5D80343C"/>
    <w:rsid w:val="5D850726"/>
    <w:rsid w:val="5DDE5F76"/>
    <w:rsid w:val="5E022EA9"/>
    <w:rsid w:val="5E164D40"/>
    <w:rsid w:val="5E183330"/>
    <w:rsid w:val="5E817AAC"/>
    <w:rsid w:val="5E963F99"/>
    <w:rsid w:val="5EA1196F"/>
    <w:rsid w:val="5EBA0F5F"/>
    <w:rsid w:val="5EE630D1"/>
    <w:rsid w:val="5EEA4CD2"/>
    <w:rsid w:val="5F046F44"/>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B12810"/>
    <w:rsid w:val="63C21113"/>
    <w:rsid w:val="63FE0FD3"/>
    <w:rsid w:val="643D7B82"/>
    <w:rsid w:val="64806028"/>
    <w:rsid w:val="64F73439"/>
    <w:rsid w:val="650802E3"/>
    <w:rsid w:val="6530763D"/>
    <w:rsid w:val="6531024B"/>
    <w:rsid w:val="65506B03"/>
    <w:rsid w:val="657E3736"/>
    <w:rsid w:val="66257BD6"/>
    <w:rsid w:val="667C7C00"/>
    <w:rsid w:val="668E1C3C"/>
    <w:rsid w:val="66E84324"/>
    <w:rsid w:val="66F44120"/>
    <w:rsid w:val="67321F44"/>
    <w:rsid w:val="67390939"/>
    <w:rsid w:val="676C2CBF"/>
    <w:rsid w:val="67C046AA"/>
    <w:rsid w:val="68791231"/>
    <w:rsid w:val="688A1D55"/>
    <w:rsid w:val="68BF756D"/>
    <w:rsid w:val="68CE27BB"/>
    <w:rsid w:val="68E56882"/>
    <w:rsid w:val="68F84167"/>
    <w:rsid w:val="691F09A3"/>
    <w:rsid w:val="694A2AD0"/>
    <w:rsid w:val="69500604"/>
    <w:rsid w:val="696D08E0"/>
    <w:rsid w:val="69C15A14"/>
    <w:rsid w:val="69CC2B0F"/>
    <w:rsid w:val="69D82D07"/>
    <w:rsid w:val="6A8848D8"/>
    <w:rsid w:val="6A9D190B"/>
    <w:rsid w:val="6AC10B58"/>
    <w:rsid w:val="6B8954B5"/>
    <w:rsid w:val="6BAE42B9"/>
    <w:rsid w:val="6BBD214F"/>
    <w:rsid w:val="6BDF5F4E"/>
    <w:rsid w:val="6BED58AF"/>
    <w:rsid w:val="6C50014D"/>
    <w:rsid w:val="6C597288"/>
    <w:rsid w:val="6C612D7E"/>
    <w:rsid w:val="6C7102D6"/>
    <w:rsid w:val="6C9D1BCF"/>
    <w:rsid w:val="6CA711B8"/>
    <w:rsid w:val="6D15265D"/>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8847CC"/>
    <w:rsid w:val="74B007FD"/>
    <w:rsid w:val="74B65E55"/>
    <w:rsid w:val="74B843B3"/>
    <w:rsid w:val="74DA7702"/>
    <w:rsid w:val="75127471"/>
    <w:rsid w:val="751471B8"/>
    <w:rsid w:val="75830833"/>
    <w:rsid w:val="75CC611E"/>
    <w:rsid w:val="75FA352D"/>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30348"/>
    <w:rsid w:val="79701A39"/>
    <w:rsid w:val="799975C1"/>
    <w:rsid w:val="79B810F6"/>
    <w:rsid w:val="7A082988"/>
    <w:rsid w:val="7A1C10FB"/>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BD25E5"/>
    <w:rsid w:val="7EC622B6"/>
    <w:rsid w:val="7F1D5ECC"/>
    <w:rsid w:val="7F3C6DE9"/>
    <w:rsid w:val="7F523215"/>
    <w:rsid w:val="7F8E7BAE"/>
    <w:rsid w:val="7FAC7F22"/>
    <w:rsid w:val="7FAE3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B3CA3A-2C68-43E3-B089-712387D7A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64.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image" Target="media/image24.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9.bin"/><Relationship Id="rId89" Type="http://schemas.openxmlformats.org/officeDocument/2006/relationships/oleObject" Target="embeddings/oleObject43.bin"/><Relationship Id="rId112" Type="http://schemas.openxmlformats.org/officeDocument/2006/relationships/oleObject" Target="embeddings/oleObject59.bin"/><Relationship Id="rId16" Type="http://schemas.openxmlformats.org/officeDocument/2006/relationships/image" Target="media/image6.png"/><Relationship Id="rId107" Type="http://schemas.openxmlformats.org/officeDocument/2006/relationships/oleObject" Target="embeddings/oleObject55.bin"/><Relationship Id="rId11" Type="http://schemas.openxmlformats.org/officeDocument/2006/relationships/oleObject" Target="embeddings/oleObject1.bin"/><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image" Target="media/image27.wmf"/><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image" Target="media/image35.wmf"/><Relationship Id="rId102" Type="http://schemas.openxmlformats.org/officeDocument/2006/relationships/oleObject" Target="embeddings/oleObject52.bin"/><Relationship Id="rId123" Type="http://schemas.openxmlformats.org/officeDocument/2006/relationships/image" Target="media/image46.png"/><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oleObject" Target="embeddings/oleObject16.bin"/><Relationship Id="rId64" Type="http://schemas.openxmlformats.org/officeDocument/2006/relationships/oleObject" Target="embeddings/oleObject26.bin"/><Relationship Id="rId69" Type="http://schemas.openxmlformats.org/officeDocument/2006/relationships/oleObject" Target="embeddings/oleObject30.bin"/><Relationship Id="rId113" Type="http://schemas.openxmlformats.org/officeDocument/2006/relationships/oleObject" Target="embeddings/oleObject60.bin"/><Relationship Id="rId118" Type="http://schemas.openxmlformats.org/officeDocument/2006/relationships/oleObject" Target="embeddings/oleObject65.bin"/><Relationship Id="rId80" Type="http://schemas.openxmlformats.org/officeDocument/2006/relationships/oleObject" Target="embeddings/oleObject37.bin"/><Relationship Id="rId85" Type="http://schemas.openxmlformats.org/officeDocument/2006/relationships/image" Target="media/image38.wmf"/><Relationship Id="rId12" Type="http://schemas.openxmlformats.org/officeDocument/2006/relationships/image" Target="media/image3.png"/><Relationship Id="rId17" Type="http://schemas.openxmlformats.org/officeDocument/2006/relationships/image" Target="media/image7.png"/><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3.bin"/><Relationship Id="rId103" Type="http://schemas.openxmlformats.org/officeDocument/2006/relationships/image" Target="media/image43.wmf"/><Relationship Id="rId108" Type="http://schemas.openxmlformats.org/officeDocument/2006/relationships/image" Target="media/image45.png"/><Relationship Id="rId124" Type="http://schemas.openxmlformats.org/officeDocument/2006/relationships/image" Target="media/image47.wmf"/><Relationship Id="rId54" Type="http://schemas.openxmlformats.org/officeDocument/2006/relationships/oleObject" Target="embeddings/oleObject19.bin"/><Relationship Id="rId70" Type="http://schemas.openxmlformats.org/officeDocument/2006/relationships/oleObject" Target="embeddings/oleObject31.bin"/><Relationship Id="rId75" Type="http://schemas.openxmlformats.org/officeDocument/2006/relationships/image" Target="media/image33.wmf"/><Relationship Id="rId91" Type="http://schemas.openxmlformats.org/officeDocument/2006/relationships/oleObject" Target="embeddings/oleObject45.bin"/><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1.wmf"/><Relationship Id="rId28" Type="http://schemas.openxmlformats.org/officeDocument/2006/relationships/image" Target="media/image14.wmf"/><Relationship Id="rId49" Type="http://schemas.openxmlformats.org/officeDocument/2006/relationships/image" Target="media/image25.wmf"/><Relationship Id="rId114" Type="http://schemas.openxmlformats.org/officeDocument/2006/relationships/oleObject" Target="embeddings/oleObject61.bin"/><Relationship Id="rId119" Type="http://schemas.openxmlformats.org/officeDocument/2006/relationships/oleObject" Target="embeddings/oleObject66.bin"/><Relationship Id="rId44" Type="http://schemas.openxmlformats.org/officeDocument/2006/relationships/image" Target="media/image22.wmf"/><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6.wmf"/><Relationship Id="rId86" Type="http://schemas.openxmlformats.org/officeDocument/2006/relationships/oleObject" Target="embeddings/oleObject40.bin"/><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oleObject" Target="embeddings/oleObject12.bin"/><Relationship Id="rId109" Type="http://schemas.openxmlformats.org/officeDocument/2006/relationships/oleObject" Target="embeddings/oleObject56.bin"/><Relationship Id="rId34" Type="http://schemas.openxmlformats.org/officeDocument/2006/relationships/image" Target="media/image17.wmf"/><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oleObject" Target="embeddings/oleObject35.bin"/><Relationship Id="rId97" Type="http://schemas.openxmlformats.org/officeDocument/2006/relationships/image" Target="media/image41.wmf"/><Relationship Id="rId104" Type="http://schemas.openxmlformats.org/officeDocument/2006/relationships/oleObject" Target="embeddings/oleObject53.bin"/><Relationship Id="rId120" Type="http://schemas.openxmlformats.org/officeDocument/2006/relationships/oleObject" Target="embeddings/oleObject67.bin"/><Relationship Id="rId125"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9.wmf"/><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2.bin"/><Relationship Id="rId61" Type="http://schemas.openxmlformats.org/officeDocument/2006/relationships/image" Target="media/image29.wmf"/><Relationship Id="rId82" Type="http://schemas.openxmlformats.org/officeDocument/2006/relationships/oleObject" Target="embeddings/oleObject38.bin"/><Relationship Id="rId19" Type="http://schemas.openxmlformats.org/officeDocument/2006/relationships/image" Target="media/image8.png"/><Relationship Id="rId14" Type="http://schemas.openxmlformats.org/officeDocument/2006/relationships/oleObject" Target="embeddings/oleObject2.bin"/><Relationship Id="rId30" Type="http://schemas.openxmlformats.org/officeDocument/2006/relationships/image" Target="media/image15.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4.wmf"/><Relationship Id="rId100" Type="http://schemas.openxmlformats.org/officeDocument/2006/relationships/image" Target="media/image42.wmf"/><Relationship Id="rId105" Type="http://schemas.openxmlformats.org/officeDocument/2006/relationships/image" Target="media/image44.wmf"/><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33.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68.bin"/><Relationship Id="rId3" Type="http://schemas.openxmlformats.org/officeDocument/2006/relationships/numbering" Target="numbering.xml"/><Relationship Id="rId25" Type="http://schemas.openxmlformats.org/officeDocument/2006/relationships/image" Target="media/image12.png"/><Relationship Id="rId46" Type="http://schemas.openxmlformats.org/officeDocument/2006/relationships/image" Target="media/image23.png"/><Relationship Id="rId67" Type="http://schemas.openxmlformats.org/officeDocument/2006/relationships/oleObject" Target="embeddings/oleObject28.bin"/><Relationship Id="rId116" Type="http://schemas.openxmlformats.org/officeDocument/2006/relationships/oleObject" Target="embeddings/oleObject63.bin"/><Relationship Id="rId20" Type="http://schemas.openxmlformats.org/officeDocument/2006/relationships/image" Target="media/image9.png"/><Relationship Id="rId41" Type="http://schemas.openxmlformats.org/officeDocument/2006/relationships/oleObject" Target="embeddings/oleObject13.bin"/><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8.bin"/><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oleObject" Target="embeddings/oleObject54.bin"/><Relationship Id="rId12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8.bin"/><Relationship Id="rId52" Type="http://schemas.openxmlformats.org/officeDocument/2006/relationships/oleObject" Target="embeddings/oleObject18.bin"/><Relationship Id="rId73" Type="http://schemas.openxmlformats.org/officeDocument/2006/relationships/image" Target="media/image32.png"/><Relationship Id="rId78" Type="http://schemas.openxmlformats.org/officeDocument/2006/relationships/oleObject" Target="embeddings/oleObject36.bin"/><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9.bin"/><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7BB3B-BC62-4D85-9437-99DA3D3B0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5374</Words>
  <Characters>30635</Characters>
  <Application>Microsoft Office Word</Application>
  <DocSecurity>0</DocSecurity>
  <Lines>255</Lines>
  <Paragraphs>71</Paragraphs>
  <ScaleCrop>false</ScaleCrop>
  <Company/>
  <LinksUpToDate>false</LinksUpToDate>
  <CharactersWithSpaces>35938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ZTE</cp:lastModifiedBy>
  <cp:revision>36</cp:revision>
  <dcterms:created xsi:type="dcterms:W3CDTF">2021-08-05T12:19:00Z</dcterms:created>
  <dcterms:modified xsi:type="dcterms:W3CDTF">2021-10-01T07:10:00Z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